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90AB5" w14:textId="1D569D2D" w:rsidR="00492DF5" w:rsidRPr="00AE251E" w:rsidRDefault="00A601D1" w:rsidP="00A601D1">
      <w:pPr>
        <w:spacing w:after="0"/>
        <w:jc w:val="center"/>
        <w:rPr>
          <w:rFonts w:ascii="Arial" w:hAnsi="Arial" w:cs="Arial"/>
          <w:b/>
          <w:bCs/>
          <w:color w:val="FF0000"/>
          <w:sz w:val="24"/>
          <w:szCs w:val="24"/>
          <w:lang w:val="en-GB"/>
        </w:rPr>
      </w:pPr>
      <w:r>
        <w:rPr>
          <w:rFonts w:ascii="Arial" w:hAnsi="Arial" w:cs="Arial"/>
          <w:b/>
          <w:bCs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D87B80" wp14:editId="5D22A4ED">
                <wp:simplePos x="0" y="0"/>
                <wp:positionH relativeFrom="page">
                  <wp:posOffset>3895725</wp:posOffset>
                </wp:positionH>
                <wp:positionV relativeFrom="paragraph">
                  <wp:posOffset>-478155</wp:posOffset>
                </wp:positionV>
                <wp:extent cx="3590925" cy="447675"/>
                <wp:effectExtent l="0" t="0" r="28575" b="28575"/>
                <wp:wrapNone/>
                <wp:docPr id="12602637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4522CB" w14:textId="353B563D" w:rsidR="00A601D1" w:rsidRPr="00216B0E" w:rsidRDefault="00A601D1" w:rsidP="00A601D1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035A3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Wards Initials</w:t>
                            </w:r>
                            <w:r w:rsidRPr="00216B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:     </w:t>
                            </w:r>
                            <w:r w:rsidR="00216B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216B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 xml:space="preserve">       </w:t>
                            </w:r>
                            <w:r w:rsidRPr="00035A3A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  <w:lang w:val="en-GB"/>
                              </w:rPr>
                              <w:t>WOC Ref No</w:t>
                            </w:r>
                            <w:r w:rsidRPr="00216B0E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en-GB"/>
                              </w:rPr>
                              <w:t>:</w:t>
                            </w:r>
                          </w:p>
                          <w:p w14:paraId="3430909D" w14:textId="77777777" w:rsidR="00A601D1" w:rsidRPr="00A601D1" w:rsidRDefault="00A601D1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D87B8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06.75pt;margin-top:-37.65pt;width:282.7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" fillcolor="white [3201]" strokecolor="white [3212]" strokeweight=".5pt">
                <v:textbox>
                  <w:txbxContent>
                    <w:p w14:paraId="3A4522CB" w14:textId="353B563D" w:rsidR="00A601D1" w:rsidRPr="00216B0E" w:rsidRDefault="00A601D1" w:rsidP="00A601D1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</w:pPr>
                      <w:r w:rsidRPr="00035A3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n-GB"/>
                        </w:rPr>
                        <w:t>Wards Initials</w:t>
                      </w:r>
                      <w:r w:rsidRPr="00216B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:     </w:t>
                      </w:r>
                      <w:r w:rsidR="00216B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216B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 xml:space="preserve">       </w:t>
                      </w:r>
                      <w:r w:rsidRPr="00035A3A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  <w:lang w:val="en-GB"/>
                        </w:rPr>
                        <w:t>WOC Ref No</w:t>
                      </w:r>
                      <w:r w:rsidRPr="00216B0E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en-GB"/>
                        </w:rPr>
                        <w:t>:</w:t>
                      </w:r>
                    </w:p>
                    <w:p w14:paraId="3430909D" w14:textId="77777777" w:rsidR="00A601D1" w:rsidRPr="00A601D1" w:rsidRDefault="00A601D1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33056" w:rsidRPr="00AE251E">
        <w:rPr>
          <w:rFonts w:ascii="Arial" w:hAnsi="Arial" w:cs="Arial"/>
          <w:b/>
          <w:bCs/>
          <w:color w:val="FF0000"/>
          <w:sz w:val="24"/>
          <w:szCs w:val="24"/>
          <w:lang w:val="en-GB"/>
        </w:rPr>
        <w:t>Decision Making-Representative Declaration of Suitability</w:t>
      </w:r>
    </w:p>
    <w:p w14:paraId="0D62A7E3" w14:textId="77777777" w:rsidR="008C68EF" w:rsidRPr="007D25A1" w:rsidRDefault="008C68EF" w:rsidP="00933056">
      <w:pPr>
        <w:jc w:val="center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5400694" w14:textId="6C997A9F" w:rsidR="00933056" w:rsidRDefault="00933056">
      <w:pPr>
        <w:rPr>
          <w:rFonts w:ascii="Arial" w:hAnsi="Arial" w:cs="Arial"/>
          <w:sz w:val="24"/>
          <w:szCs w:val="24"/>
          <w:lang w:val="en-GB"/>
        </w:rPr>
      </w:pPr>
      <w:r w:rsidRPr="00817899">
        <w:rPr>
          <w:rFonts w:ascii="Arial" w:hAnsi="Arial" w:cs="Arial"/>
          <w:sz w:val="24"/>
          <w:szCs w:val="24"/>
          <w:lang w:val="en-GB"/>
        </w:rPr>
        <w:t xml:space="preserve">If there </w:t>
      </w:r>
      <w:r w:rsidR="007F4AB3" w:rsidRPr="00817899">
        <w:rPr>
          <w:rFonts w:ascii="Arial" w:hAnsi="Arial" w:cs="Arial"/>
          <w:sz w:val="24"/>
          <w:szCs w:val="24"/>
          <w:lang w:val="en-GB"/>
        </w:rPr>
        <w:t>is</w:t>
      </w:r>
      <w:r w:rsidRPr="00817899">
        <w:rPr>
          <w:rFonts w:ascii="Arial" w:hAnsi="Arial" w:cs="Arial"/>
          <w:sz w:val="24"/>
          <w:szCs w:val="24"/>
          <w:lang w:val="en-GB"/>
        </w:rPr>
        <w:t xml:space="preserve"> more than one </w:t>
      </w:r>
      <w:r w:rsidR="007F4AB3" w:rsidRPr="00817899">
        <w:rPr>
          <w:rFonts w:ascii="Arial" w:hAnsi="Arial" w:cs="Arial"/>
          <w:sz w:val="24"/>
          <w:szCs w:val="24"/>
          <w:lang w:val="en-GB"/>
        </w:rPr>
        <w:t xml:space="preserve">proposed </w:t>
      </w:r>
      <w:r w:rsidRPr="00817899">
        <w:rPr>
          <w:rFonts w:ascii="Arial" w:hAnsi="Arial" w:cs="Arial"/>
          <w:sz w:val="24"/>
          <w:szCs w:val="24"/>
          <w:lang w:val="en-GB"/>
        </w:rPr>
        <w:t xml:space="preserve">Decision-Making </w:t>
      </w:r>
      <w:r w:rsidR="007D25A1" w:rsidRPr="00817899">
        <w:rPr>
          <w:rFonts w:ascii="Arial" w:hAnsi="Arial" w:cs="Arial"/>
          <w:sz w:val="24"/>
          <w:szCs w:val="24"/>
          <w:lang w:val="en-GB"/>
        </w:rPr>
        <w:t>Representative,</w:t>
      </w:r>
      <w:r w:rsidRPr="00817899">
        <w:rPr>
          <w:rFonts w:ascii="Arial" w:hAnsi="Arial" w:cs="Arial"/>
          <w:sz w:val="24"/>
          <w:szCs w:val="24"/>
          <w:lang w:val="en-GB"/>
        </w:rPr>
        <w:t xml:space="preserve"> please </w:t>
      </w:r>
      <w:r w:rsidR="008005D6" w:rsidRPr="00817899">
        <w:rPr>
          <w:rFonts w:ascii="Arial" w:hAnsi="Arial" w:cs="Arial"/>
          <w:sz w:val="24"/>
          <w:szCs w:val="24"/>
          <w:lang w:val="en-GB"/>
        </w:rPr>
        <w:t>complete a form for each proposed Decision-Making Representative.</w:t>
      </w:r>
      <w:r w:rsidRPr="00817899">
        <w:rPr>
          <w:rFonts w:ascii="Arial" w:hAnsi="Arial" w:cs="Arial"/>
          <w:sz w:val="24"/>
          <w:szCs w:val="24"/>
          <w:lang w:val="en-GB"/>
        </w:rPr>
        <w:t xml:space="preserve">  </w:t>
      </w:r>
    </w:p>
    <w:p w14:paraId="45958B14" w14:textId="77777777" w:rsidR="00817899" w:rsidRPr="00817899" w:rsidRDefault="00817899">
      <w:pPr>
        <w:rPr>
          <w:rFonts w:ascii="Arial" w:hAnsi="Arial" w:cs="Arial"/>
          <w:sz w:val="24"/>
          <w:szCs w:val="24"/>
          <w:lang w:val="en-GB"/>
        </w:rPr>
      </w:pPr>
    </w:p>
    <w:p w14:paraId="18022523" w14:textId="53D94D53" w:rsidR="00933056" w:rsidRDefault="00933056">
      <w:pPr>
        <w:rPr>
          <w:rFonts w:ascii="Arial" w:hAnsi="Arial" w:cs="Arial"/>
          <w:b/>
          <w:bCs/>
          <w:sz w:val="24"/>
          <w:szCs w:val="24"/>
          <w:lang w:val="en-GB"/>
        </w:rPr>
      </w:pPr>
      <w:r w:rsidRPr="00817899">
        <w:rPr>
          <w:rFonts w:ascii="Arial" w:hAnsi="Arial" w:cs="Arial"/>
          <w:b/>
          <w:bCs/>
          <w:sz w:val="24"/>
          <w:szCs w:val="24"/>
          <w:lang w:val="en-GB"/>
        </w:rPr>
        <w:t xml:space="preserve">Do not sign this form unless you understand what it means.   If you are in any </w:t>
      </w:r>
      <w:proofErr w:type="gramStart"/>
      <w:r w:rsidRPr="00817899">
        <w:rPr>
          <w:rFonts w:ascii="Arial" w:hAnsi="Arial" w:cs="Arial"/>
          <w:b/>
          <w:bCs/>
          <w:sz w:val="24"/>
          <w:szCs w:val="24"/>
          <w:lang w:val="en-GB"/>
        </w:rPr>
        <w:t>doubt</w:t>
      </w:r>
      <w:proofErr w:type="gramEnd"/>
      <w:r w:rsidRPr="00817899">
        <w:rPr>
          <w:rFonts w:ascii="Arial" w:hAnsi="Arial" w:cs="Arial"/>
          <w:b/>
          <w:bCs/>
          <w:sz w:val="24"/>
          <w:szCs w:val="24"/>
          <w:lang w:val="en-GB"/>
        </w:rPr>
        <w:t xml:space="preserve"> you should obtain legal advice.</w:t>
      </w:r>
    </w:p>
    <w:p w14:paraId="4C54CF17" w14:textId="77777777" w:rsidR="00817899" w:rsidRPr="00817899" w:rsidRDefault="00817899">
      <w:pPr>
        <w:rPr>
          <w:rFonts w:ascii="Arial" w:hAnsi="Arial" w:cs="Arial"/>
          <w:b/>
          <w:bCs/>
          <w:sz w:val="24"/>
          <w:szCs w:val="24"/>
          <w:lang w:val="en-GB"/>
        </w:rPr>
      </w:pPr>
    </w:p>
    <w:p w14:paraId="3A84263D" w14:textId="1C6CDC86" w:rsidR="002509AA" w:rsidRDefault="008005D6">
      <w:pPr>
        <w:rPr>
          <w:rFonts w:ascii="Arial" w:hAnsi="Arial" w:cs="Arial"/>
          <w:sz w:val="24"/>
          <w:szCs w:val="24"/>
          <w:lang w:val="en-GB"/>
        </w:rPr>
      </w:pPr>
      <w:r w:rsidRPr="00817899">
        <w:rPr>
          <w:rFonts w:ascii="Arial" w:hAnsi="Arial" w:cs="Arial"/>
          <w:sz w:val="24"/>
          <w:szCs w:val="24"/>
          <w:lang w:val="en-GB"/>
        </w:rPr>
        <w:t xml:space="preserve">Please refer to Section 38(5) of the Assisted Decision-Making Capacity Act </w:t>
      </w:r>
      <w:r w:rsidR="007D25A1" w:rsidRPr="00817899">
        <w:rPr>
          <w:rFonts w:ascii="Arial" w:hAnsi="Arial" w:cs="Arial"/>
          <w:sz w:val="24"/>
          <w:szCs w:val="24"/>
          <w:lang w:val="en-GB"/>
        </w:rPr>
        <w:t xml:space="preserve">2015 as amended </w:t>
      </w:r>
      <w:r w:rsidRPr="00817899">
        <w:rPr>
          <w:rFonts w:ascii="Arial" w:hAnsi="Arial" w:cs="Arial"/>
          <w:sz w:val="24"/>
          <w:szCs w:val="24"/>
          <w:lang w:val="en-GB"/>
        </w:rPr>
        <w:t>in relation to the suitability of a person to be appointed as a Decision-Making Representative for a relevant person and provide information on the following:</w:t>
      </w:r>
    </w:p>
    <w:p w14:paraId="2ECDF169" w14:textId="77777777" w:rsidR="00817899" w:rsidRPr="00817899" w:rsidRDefault="00817899">
      <w:pPr>
        <w:rPr>
          <w:rFonts w:ascii="Arial" w:hAnsi="Arial" w:cs="Arial"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005D6" w:rsidRPr="007D25A1" w14:paraId="133E4633" w14:textId="77777777" w:rsidTr="008005D6">
        <w:tc>
          <w:tcPr>
            <w:tcW w:w="10456" w:type="dxa"/>
          </w:tcPr>
          <w:p w14:paraId="0D78A27E" w14:textId="5C0F6340" w:rsidR="008005D6" w:rsidRPr="006B7601" w:rsidRDefault="008005D6" w:rsidP="008005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6B7601">
              <w:rPr>
                <w:rFonts w:ascii="Arial" w:hAnsi="Arial" w:cs="Arial"/>
                <w:b/>
                <w:bCs/>
                <w:lang w:val="en-GB"/>
              </w:rPr>
              <w:t>The relationship (if any) between the relevant person and the proposed representative</w:t>
            </w:r>
          </w:p>
          <w:p w14:paraId="55540485" w14:textId="77777777" w:rsidR="008005D6" w:rsidRPr="007D25A1" w:rsidRDefault="008005D6">
            <w:pPr>
              <w:rPr>
                <w:rFonts w:ascii="Arial" w:hAnsi="Arial" w:cs="Arial"/>
                <w:lang w:val="en-GB"/>
              </w:rPr>
            </w:pPr>
          </w:p>
        </w:tc>
      </w:tr>
      <w:tr w:rsidR="008005D6" w:rsidRPr="007D25A1" w14:paraId="46CEBDA1" w14:textId="77777777" w:rsidTr="008005D6">
        <w:tc>
          <w:tcPr>
            <w:tcW w:w="10456" w:type="dxa"/>
          </w:tcPr>
          <w:p w14:paraId="28E48611" w14:textId="77777777" w:rsidR="008005D6" w:rsidRPr="007D25A1" w:rsidRDefault="008005D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4305A1F" w14:textId="77777777" w:rsidR="008005D6" w:rsidRDefault="008005D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4445804" w14:textId="77777777" w:rsidR="00817899" w:rsidRDefault="0081789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57334A2" w14:textId="77777777" w:rsidR="00817899" w:rsidRPr="007D25A1" w:rsidRDefault="00817899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69E1E72" w14:textId="77777777" w:rsidR="008005D6" w:rsidRPr="007D25A1" w:rsidRDefault="008005D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717CADF" w14:textId="77777777" w:rsidR="008005D6" w:rsidRPr="007D25A1" w:rsidRDefault="008005D6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24BFDA2" w14:textId="77777777" w:rsidR="008005D6" w:rsidRPr="007D25A1" w:rsidRDefault="008005D6">
      <w:pPr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005D6" w:rsidRPr="007D25A1" w14:paraId="46745C0E" w14:textId="77777777" w:rsidTr="008E112E">
        <w:tc>
          <w:tcPr>
            <w:tcW w:w="10456" w:type="dxa"/>
          </w:tcPr>
          <w:p w14:paraId="25883806" w14:textId="04D17228" w:rsidR="008005D6" w:rsidRPr="006B7601" w:rsidRDefault="008005D6" w:rsidP="008005D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6B7601">
              <w:rPr>
                <w:rFonts w:ascii="Arial" w:hAnsi="Arial" w:cs="Arial"/>
                <w:b/>
                <w:bCs/>
                <w:lang w:val="en-GB"/>
              </w:rPr>
              <w:t>The compatibility of the proposed representative and the relevant person</w:t>
            </w:r>
          </w:p>
          <w:p w14:paraId="75D9FAB8" w14:textId="77777777" w:rsidR="008005D6" w:rsidRPr="006B7601" w:rsidRDefault="008005D6" w:rsidP="008E112E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</w:tr>
      <w:tr w:rsidR="008005D6" w:rsidRPr="007D25A1" w14:paraId="3EB89F7E" w14:textId="77777777" w:rsidTr="008E112E">
        <w:tc>
          <w:tcPr>
            <w:tcW w:w="10456" w:type="dxa"/>
          </w:tcPr>
          <w:p w14:paraId="78FC5E9F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  <w:p w14:paraId="04C6FC4A" w14:textId="77777777" w:rsidR="008005D6" w:rsidRPr="007D25A1" w:rsidRDefault="008005D6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0C9668B" w14:textId="77777777" w:rsidR="008005D6" w:rsidRDefault="008005D6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6BB4868A" w14:textId="77777777" w:rsidR="00817899" w:rsidRDefault="00817899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459103B4" w14:textId="77777777" w:rsidR="00817899" w:rsidRPr="007D25A1" w:rsidRDefault="00817899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296FBD29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CB7732" w14:textId="77777777" w:rsidR="008005D6" w:rsidRPr="007D25A1" w:rsidRDefault="008005D6" w:rsidP="008005D6">
      <w:pPr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005D6" w:rsidRPr="007D25A1" w14:paraId="5A0A72BF" w14:textId="77777777" w:rsidTr="008E112E">
        <w:tc>
          <w:tcPr>
            <w:tcW w:w="10456" w:type="dxa"/>
          </w:tcPr>
          <w:p w14:paraId="5FB3A532" w14:textId="40D566E9" w:rsidR="008005D6" w:rsidRPr="006B7601" w:rsidRDefault="008005D6" w:rsidP="008E11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6B7601">
              <w:rPr>
                <w:rFonts w:ascii="Arial" w:hAnsi="Arial" w:cs="Arial"/>
                <w:b/>
                <w:bCs/>
                <w:lang w:val="en-GB"/>
              </w:rPr>
              <w:t xml:space="preserve">Whether the proposed representative </w:t>
            </w:r>
            <w:r w:rsidR="006B7601">
              <w:rPr>
                <w:rFonts w:ascii="Arial" w:hAnsi="Arial" w:cs="Arial"/>
                <w:b/>
                <w:bCs/>
                <w:lang w:val="en-GB"/>
              </w:rPr>
              <w:t xml:space="preserve">will </w:t>
            </w:r>
            <w:r w:rsidRPr="006B7601">
              <w:rPr>
                <w:rFonts w:ascii="Arial" w:hAnsi="Arial" w:cs="Arial"/>
                <w:b/>
                <w:bCs/>
                <w:lang w:val="en-GB"/>
              </w:rPr>
              <w:t>be able to perform the functions to be vested in him or her</w:t>
            </w:r>
          </w:p>
          <w:p w14:paraId="09D56182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</w:tc>
      </w:tr>
      <w:tr w:rsidR="008005D6" w:rsidRPr="007D25A1" w14:paraId="5DFE6BD9" w14:textId="77777777" w:rsidTr="008E112E">
        <w:tc>
          <w:tcPr>
            <w:tcW w:w="10456" w:type="dxa"/>
          </w:tcPr>
          <w:p w14:paraId="5DE0DDE8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  <w:p w14:paraId="16ADE2ED" w14:textId="77777777" w:rsidR="008005D6" w:rsidRDefault="008005D6" w:rsidP="008E11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A14AC15" w14:textId="77777777" w:rsidR="00817899" w:rsidRDefault="00817899" w:rsidP="008E11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4D2C3A6" w14:textId="77777777" w:rsidR="00817899" w:rsidRPr="007D25A1" w:rsidRDefault="00817899" w:rsidP="008E11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27E7692D" w14:textId="77777777" w:rsidR="008005D6" w:rsidRPr="007D25A1" w:rsidRDefault="008005D6" w:rsidP="008E112E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BABD55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37CE39DE" w14:textId="77777777" w:rsidR="008005D6" w:rsidRPr="007D25A1" w:rsidRDefault="008005D6" w:rsidP="008005D6">
      <w:pPr>
        <w:ind w:left="360"/>
        <w:rPr>
          <w:rFonts w:ascii="Arial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005D6" w:rsidRPr="007D25A1" w14:paraId="3032A3EB" w14:textId="77777777" w:rsidTr="008E112E">
        <w:tc>
          <w:tcPr>
            <w:tcW w:w="10456" w:type="dxa"/>
          </w:tcPr>
          <w:p w14:paraId="40711AEE" w14:textId="78AE7AE6" w:rsidR="008005D6" w:rsidRPr="006B7601" w:rsidRDefault="008005D6" w:rsidP="008E112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lang w:val="en-GB"/>
              </w:rPr>
            </w:pPr>
            <w:r w:rsidRPr="006B7601">
              <w:rPr>
                <w:rFonts w:ascii="Arial" w:hAnsi="Arial" w:cs="Arial"/>
                <w:b/>
                <w:bCs/>
                <w:lang w:val="en-GB"/>
              </w:rPr>
              <w:t>Any conflict of interest</w:t>
            </w:r>
          </w:p>
          <w:p w14:paraId="4E2302E3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</w:tc>
      </w:tr>
      <w:tr w:rsidR="008005D6" w:rsidRPr="007D25A1" w14:paraId="4CFD9FA9" w14:textId="77777777" w:rsidTr="008E112E">
        <w:tc>
          <w:tcPr>
            <w:tcW w:w="10456" w:type="dxa"/>
          </w:tcPr>
          <w:p w14:paraId="21C745F7" w14:textId="77777777" w:rsidR="008005D6" w:rsidRPr="007D25A1" w:rsidRDefault="008005D6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4D3D52A" w14:textId="77777777" w:rsidR="008005D6" w:rsidRDefault="008005D6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1330030D" w14:textId="77777777" w:rsidR="00817899" w:rsidRDefault="00817899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3198ACD5" w14:textId="77777777" w:rsidR="00817899" w:rsidRPr="007D25A1" w:rsidRDefault="00817899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7DA5B48D" w14:textId="77777777" w:rsidR="008005D6" w:rsidRPr="007D25A1" w:rsidRDefault="008005D6" w:rsidP="008E112E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590C6EA5" w14:textId="77777777" w:rsidR="008005D6" w:rsidRPr="007D25A1" w:rsidRDefault="008005D6" w:rsidP="008E112E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7889FCB" w14:textId="77777777" w:rsidR="008005D6" w:rsidRPr="007D25A1" w:rsidRDefault="008005D6" w:rsidP="008005D6">
      <w:pPr>
        <w:ind w:left="360"/>
        <w:rPr>
          <w:rFonts w:ascii="Arial" w:hAnsi="Arial" w:cs="Arial"/>
          <w:sz w:val="16"/>
          <w:szCs w:val="16"/>
          <w:lang w:val="en-GB"/>
        </w:rPr>
      </w:pPr>
    </w:p>
    <w:p w14:paraId="09C9CD35" w14:textId="77777777" w:rsidR="00817899" w:rsidRDefault="00817899">
      <w:pPr>
        <w:rPr>
          <w:rFonts w:ascii="Arial" w:hAnsi="Arial" w:cs="Arial"/>
          <w:b/>
          <w:bCs/>
          <w:lang w:val="en-GB"/>
        </w:rPr>
      </w:pPr>
    </w:p>
    <w:p w14:paraId="2172191B" w14:textId="77777777" w:rsidR="00817899" w:rsidRDefault="00817899">
      <w:pPr>
        <w:rPr>
          <w:rFonts w:ascii="Arial" w:hAnsi="Arial" w:cs="Arial"/>
          <w:b/>
          <w:bCs/>
          <w:lang w:val="en-GB"/>
        </w:rPr>
      </w:pPr>
    </w:p>
    <w:p w14:paraId="1B161302" w14:textId="265A6878" w:rsidR="00933056" w:rsidRPr="007D25A1" w:rsidRDefault="00933056">
      <w:pPr>
        <w:rPr>
          <w:rFonts w:ascii="Arial" w:hAnsi="Arial" w:cs="Arial"/>
          <w:b/>
          <w:bCs/>
          <w:lang w:val="en-GB"/>
        </w:rPr>
      </w:pPr>
      <w:r w:rsidRPr="007D25A1">
        <w:rPr>
          <w:rFonts w:ascii="Arial" w:hAnsi="Arial" w:cs="Arial"/>
          <w:b/>
          <w:bCs/>
          <w:lang w:val="en-GB"/>
        </w:rPr>
        <w:t xml:space="preserve">Declaration: </w:t>
      </w:r>
    </w:p>
    <w:p w14:paraId="13F73ADB" w14:textId="557CD7C3" w:rsidR="00933056" w:rsidRPr="007D25A1" w:rsidRDefault="00933056">
      <w:pPr>
        <w:rPr>
          <w:rFonts w:ascii="Arial" w:hAnsi="Arial" w:cs="Arial"/>
          <w:lang w:val="en-GB"/>
        </w:rPr>
      </w:pPr>
      <w:r w:rsidRPr="007D25A1">
        <w:rPr>
          <w:rFonts w:ascii="Arial" w:hAnsi="Arial" w:cs="Arial"/>
          <w:lang w:val="en-GB"/>
        </w:rPr>
        <w:lastRenderedPageBreak/>
        <w:t>I understand my duties and obligations as a Decision-Making Representative as outlined in the Assisted Decision-Making (Capacity) Act 2015 as amended and I have read or have had read to me the information in the schedule attached.</w:t>
      </w:r>
    </w:p>
    <w:p w14:paraId="03EDC575" w14:textId="75DC686E" w:rsidR="00933056" w:rsidRDefault="00933056">
      <w:pPr>
        <w:rPr>
          <w:rFonts w:ascii="Arial" w:hAnsi="Arial" w:cs="Arial"/>
          <w:lang w:val="en-GB"/>
        </w:rPr>
      </w:pPr>
      <w:r w:rsidRPr="007D25A1">
        <w:rPr>
          <w:rFonts w:ascii="Arial" w:hAnsi="Arial" w:cs="Arial"/>
          <w:lang w:val="en-GB"/>
        </w:rPr>
        <w:t xml:space="preserve">I am not a minor or ineligible or otherwise disqualified for acting as a Decision-Making Representative as set out in the schedule attached. </w:t>
      </w:r>
    </w:p>
    <w:p w14:paraId="3F4EC7ED" w14:textId="77777777" w:rsidR="00817899" w:rsidRDefault="00817899">
      <w:pPr>
        <w:rPr>
          <w:rFonts w:ascii="Arial" w:hAnsi="Arial" w:cs="Arial"/>
          <w:lang w:val="en-GB"/>
        </w:rPr>
      </w:pPr>
    </w:p>
    <w:p w14:paraId="7EE3018A" w14:textId="77777777" w:rsidR="00817899" w:rsidRPr="007D25A1" w:rsidRDefault="00817899">
      <w:pPr>
        <w:rPr>
          <w:rFonts w:ascii="Arial" w:hAnsi="Arial" w:cs="Arial"/>
          <w:lang w:val="en-GB"/>
        </w:rPr>
      </w:pPr>
    </w:p>
    <w:p w14:paraId="5634A570" w14:textId="0365F9F0" w:rsidR="00933056" w:rsidRPr="00817899" w:rsidRDefault="00933056" w:rsidP="00933056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817899">
        <w:rPr>
          <w:rFonts w:ascii="Arial" w:hAnsi="Arial" w:cs="Arial"/>
          <w:b/>
          <w:bCs/>
          <w:sz w:val="20"/>
          <w:szCs w:val="20"/>
          <w:lang w:val="en-GB"/>
        </w:rPr>
        <w:t>Signature of Decision-Making Representative</w:t>
      </w:r>
      <w:r w:rsidRPr="0081789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817899">
        <w:rPr>
          <w:rFonts w:ascii="Arial" w:hAnsi="Arial" w:cs="Arial"/>
          <w:b/>
          <w:bCs/>
          <w:sz w:val="20"/>
          <w:szCs w:val="20"/>
          <w:lang w:val="en-GB"/>
        </w:rPr>
        <w:tab/>
        <w:t>Witness - Signed in the presence of</w:t>
      </w:r>
    </w:p>
    <w:p w14:paraId="097B9BD7" w14:textId="77777777" w:rsidR="00933056" w:rsidRPr="00817899" w:rsidRDefault="00933056" w:rsidP="00933056">
      <w:pPr>
        <w:rPr>
          <w:rFonts w:ascii="Arial" w:hAnsi="Arial" w:cs="Arial"/>
          <w:sz w:val="20"/>
          <w:szCs w:val="20"/>
          <w:lang w:val="en-GB"/>
        </w:rPr>
      </w:pPr>
    </w:p>
    <w:p w14:paraId="7C766772" w14:textId="1DA44328" w:rsidR="00933056" w:rsidRPr="00817899" w:rsidRDefault="00933056" w:rsidP="00933056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sz w:val="20"/>
          <w:szCs w:val="20"/>
          <w:lang w:val="en-GB"/>
        </w:rPr>
        <w:t>__________________________________</w:t>
      </w:r>
      <w:r w:rsidRPr="00817899">
        <w:rPr>
          <w:rFonts w:ascii="Arial" w:hAnsi="Arial" w:cs="Arial"/>
          <w:sz w:val="20"/>
          <w:szCs w:val="20"/>
          <w:lang w:val="en-GB"/>
        </w:rPr>
        <w:tab/>
      </w:r>
      <w:r w:rsidRPr="00817899">
        <w:rPr>
          <w:rFonts w:ascii="Arial" w:hAnsi="Arial" w:cs="Arial"/>
          <w:sz w:val="20"/>
          <w:szCs w:val="20"/>
          <w:lang w:val="en-GB"/>
        </w:rPr>
        <w:tab/>
        <w:t>_______________________</w:t>
      </w:r>
      <w:r w:rsidR="002506E9" w:rsidRPr="00817899">
        <w:rPr>
          <w:rFonts w:ascii="Arial" w:hAnsi="Arial" w:cs="Arial"/>
          <w:sz w:val="20"/>
          <w:szCs w:val="20"/>
          <w:lang w:val="en-GB"/>
        </w:rPr>
        <w:t>____</w:t>
      </w:r>
      <w:r w:rsidRPr="00817899">
        <w:rPr>
          <w:rFonts w:ascii="Arial" w:hAnsi="Arial" w:cs="Arial"/>
          <w:sz w:val="20"/>
          <w:szCs w:val="20"/>
          <w:lang w:val="en-GB"/>
        </w:rPr>
        <w:t>_____</w:t>
      </w:r>
    </w:p>
    <w:p w14:paraId="32E02D14" w14:textId="77777777" w:rsidR="00933056" w:rsidRPr="00817899" w:rsidRDefault="00933056" w:rsidP="00933056">
      <w:pPr>
        <w:rPr>
          <w:rFonts w:ascii="Arial" w:hAnsi="Arial" w:cs="Arial"/>
          <w:sz w:val="20"/>
          <w:szCs w:val="20"/>
          <w:lang w:val="en-GB"/>
        </w:rPr>
      </w:pPr>
    </w:p>
    <w:p w14:paraId="4C139361" w14:textId="5A417EA4" w:rsidR="002506E9" w:rsidRPr="00817899" w:rsidRDefault="00933056" w:rsidP="002506E9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b/>
          <w:bCs/>
          <w:sz w:val="20"/>
          <w:szCs w:val="20"/>
          <w:lang w:val="en-GB"/>
        </w:rPr>
        <w:t>Date of Signature</w:t>
      </w:r>
      <w:r w:rsidRPr="00817899">
        <w:rPr>
          <w:rFonts w:ascii="Arial" w:hAnsi="Arial" w:cs="Arial"/>
          <w:sz w:val="20"/>
          <w:szCs w:val="20"/>
          <w:lang w:val="en-GB"/>
        </w:rPr>
        <w:t xml:space="preserve">    __________________</w:t>
      </w:r>
      <w:r w:rsidR="002506E9" w:rsidRPr="00817899">
        <w:rPr>
          <w:rFonts w:ascii="Arial" w:hAnsi="Arial" w:cs="Arial"/>
          <w:sz w:val="20"/>
          <w:szCs w:val="20"/>
          <w:lang w:val="en-GB"/>
        </w:rPr>
        <w:tab/>
      </w:r>
      <w:r w:rsidR="002506E9" w:rsidRPr="00817899">
        <w:rPr>
          <w:rFonts w:ascii="Arial" w:hAnsi="Arial" w:cs="Arial"/>
          <w:sz w:val="20"/>
          <w:szCs w:val="20"/>
          <w:lang w:val="en-GB"/>
        </w:rPr>
        <w:tab/>
      </w:r>
      <w:r w:rsidR="002506E9" w:rsidRPr="00817899">
        <w:rPr>
          <w:rFonts w:ascii="Arial" w:hAnsi="Arial" w:cs="Arial"/>
          <w:b/>
          <w:bCs/>
          <w:sz w:val="20"/>
          <w:szCs w:val="20"/>
          <w:lang w:val="en-GB"/>
        </w:rPr>
        <w:t>Date of Signature</w:t>
      </w:r>
      <w:r w:rsidR="002506E9" w:rsidRPr="00817899">
        <w:rPr>
          <w:rFonts w:ascii="Arial" w:hAnsi="Arial" w:cs="Arial"/>
          <w:sz w:val="20"/>
          <w:szCs w:val="20"/>
          <w:lang w:val="en-GB"/>
        </w:rPr>
        <w:t xml:space="preserve">    ________________</w:t>
      </w:r>
    </w:p>
    <w:p w14:paraId="2FE4633A" w14:textId="77777777" w:rsidR="002506E9" w:rsidRPr="00817899" w:rsidRDefault="002506E9" w:rsidP="002506E9">
      <w:pPr>
        <w:rPr>
          <w:rFonts w:ascii="Arial" w:hAnsi="Arial" w:cs="Arial"/>
          <w:sz w:val="20"/>
          <w:szCs w:val="20"/>
          <w:lang w:val="en-GB"/>
        </w:rPr>
      </w:pPr>
    </w:p>
    <w:p w14:paraId="29509C84" w14:textId="77777777" w:rsidR="007D25A1" w:rsidRPr="00817899" w:rsidRDefault="007D25A1" w:rsidP="0093305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51A59A7" w14:textId="77777777" w:rsidR="007D25A1" w:rsidRPr="00817899" w:rsidRDefault="007D25A1" w:rsidP="00933056">
      <w:pPr>
        <w:rPr>
          <w:rFonts w:ascii="Arial" w:hAnsi="Arial" w:cs="Arial"/>
          <w:b/>
          <w:bCs/>
          <w:sz w:val="20"/>
          <w:szCs w:val="20"/>
          <w:lang w:val="en-GB"/>
        </w:rPr>
      </w:pPr>
    </w:p>
    <w:p w14:paraId="277353A6" w14:textId="6CECFA0C" w:rsidR="00933056" w:rsidRPr="00817899" w:rsidRDefault="002506E9" w:rsidP="00933056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817899">
        <w:rPr>
          <w:rFonts w:ascii="Arial" w:hAnsi="Arial" w:cs="Arial"/>
          <w:b/>
          <w:bCs/>
          <w:sz w:val="20"/>
          <w:szCs w:val="20"/>
          <w:lang w:val="en-GB"/>
        </w:rPr>
        <w:t>Full Name of Decision-Making Representative</w:t>
      </w:r>
      <w:r w:rsidRPr="00817899">
        <w:rPr>
          <w:rFonts w:ascii="Arial" w:hAnsi="Arial" w:cs="Arial"/>
          <w:b/>
          <w:bCs/>
          <w:sz w:val="20"/>
          <w:szCs w:val="20"/>
          <w:lang w:val="en-GB"/>
        </w:rPr>
        <w:tab/>
        <w:t xml:space="preserve">Full Name of Witness </w:t>
      </w:r>
    </w:p>
    <w:p w14:paraId="3AF03DEB" w14:textId="77777777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</w:p>
    <w:p w14:paraId="4F22B48B" w14:textId="2EB19CFB" w:rsidR="00933056" w:rsidRPr="00817899" w:rsidRDefault="00933056" w:rsidP="00933056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Pr="00817899">
        <w:rPr>
          <w:rFonts w:ascii="Arial" w:hAnsi="Arial" w:cs="Arial"/>
          <w:sz w:val="20"/>
          <w:szCs w:val="20"/>
          <w:lang w:val="en-GB"/>
        </w:rPr>
        <w:tab/>
      </w:r>
      <w:r w:rsidRPr="00817899">
        <w:rPr>
          <w:rFonts w:ascii="Arial" w:hAnsi="Arial" w:cs="Arial"/>
          <w:sz w:val="20"/>
          <w:szCs w:val="20"/>
          <w:lang w:val="en-GB"/>
        </w:rPr>
        <w:tab/>
        <w:t>_______________________________</w:t>
      </w:r>
    </w:p>
    <w:p w14:paraId="23A19D69" w14:textId="77777777" w:rsidR="00933056" w:rsidRPr="00817899" w:rsidRDefault="00933056" w:rsidP="00933056">
      <w:pPr>
        <w:rPr>
          <w:rFonts w:ascii="Arial" w:hAnsi="Arial" w:cs="Arial"/>
          <w:sz w:val="20"/>
          <w:szCs w:val="20"/>
          <w:lang w:val="en-GB"/>
        </w:rPr>
      </w:pPr>
    </w:p>
    <w:p w14:paraId="4404E370" w14:textId="71901DC0" w:rsidR="002506E9" w:rsidRPr="00817899" w:rsidRDefault="002506E9" w:rsidP="00933056">
      <w:pPr>
        <w:rPr>
          <w:rFonts w:ascii="Arial" w:hAnsi="Arial" w:cs="Arial"/>
          <w:b/>
          <w:bCs/>
          <w:sz w:val="20"/>
          <w:szCs w:val="20"/>
          <w:lang w:val="en-GB"/>
        </w:rPr>
      </w:pPr>
      <w:r w:rsidRPr="00817899">
        <w:rPr>
          <w:rFonts w:ascii="Arial" w:hAnsi="Arial" w:cs="Arial"/>
          <w:b/>
          <w:bCs/>
          <w:sz w:val="20"/>
          <w:szCs w:val="20"/>
          <w:lang w:val="en-GB"/>
        </w:rPr>
        <w:t>Address of Decision-Making Representative</w:t>
      </w:r>
      <w:r w:rsidRPr="00817899">
        <w:rPr>
          <w:rFonts w:ascii="Arial" w:hAnsi="Arial" w:cs="Arial"/>
          <w:b/>
          <w:bCs/>
          <w:sz w:val="20"/>
          <w:szCs w:val="20"/>
          <w:lang w:val="en-GB"/>
        </w:rPr>
        <w:tab/>
      </w:r>
      <w:r w:rsidRPr="00817899">
        <w:rPr>
          <w:rFonts w:ascii="Arial" w:hAnsi="Arial" w:cs="Arial"/>
          <w:b/>
          <w:bCs/>
          <w:sz w:val="20"/>
          <w:szCs w:val="20"/>
          <w:lang w:val="en-GB"/>
        </w:rPr>
        <w:tab/>
        <w:t>Address of Witness</w:t>
      </w:r>
    </w:p>
    <w:p w14:paraId="5CD0C6BF" w14:textId="77777777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</w:p>
    <w:p w14:paraId="5F04B8EB" w14:textId="2ECACA10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Pr="00817899">
        <w:rPr>
          <w:rFonts w:ascii="Arial" w:hAnsi="Arial" w:cs="Arial"/>
          <w:sz w:val="20"/>
          <w:szCs w:val="20"/>
          <w:lang w:val="en-GB"/>
        </w:rPr>
        <w:tab/>
      </w:r>
      <w:r w:rsidRPr="00817899">
        <w:rPr>
          <w:rFonts w:ascii="Arial" w:hAnsi="Arial" w:cs="Arial"/>
          <w:sz w:val="20"/>
          <w:szCs w:val="20"/>
          <w:lang w:val="en-GB"/>
        </w:rPr>
        <w:tab/>
        <w:t>________________________________</w:t>
      </w:r>
    </w:p>
    <w:p w14:paraId="59090784" w14:textId="77777777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</w:p>
    <w:p w14:paraId="1D044D31" w14:textId="07A31492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Pr="00817899">
        <w:rPr>
          <w:rFonts w:ascii="Arial" w:hAnsi="Arial" w:cs="Arial"/>
          <w:sz w:val="20"/>
          <w:szCs w:val="20"/>
          <w:lang w:val="en-GB"/>
        </w:rPr>
        <w:tab/>
      </w:r>
      <w:r w:rsidRPr="00817899">
        <w:rPr>
          <w:rFonts w:ascii="Arial" w:hAnsi="Arial" w:cs="Arial"/>
          <w:sz w:val="20"/>
          <w:szCs w:val="20"/>
          <w:lang w:val="en-GB"/>
        </w:rPr>
        <w:tab/>
        <w:t>________________________________</w:t>
      </w:r>
    </w:p>
    <w:p w14:paraId="6B7C7A58" w14:textId="77777777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</w:p>
    <w:p w14:paraId="2584FAC1" w14:textId="55D84C1D" w:rsidR="002506E9" w:rsidRPr="00817899" w:rsidRDefault="002506E9" w:rsidP="00933056">
      <w:pPr>
        <w:rPr>
          <w:rFonts w:ascii="Arial" w:hAnsi="Arial" w:cs="Arial"/>
          <w:sz w:val="20"/>
          <w:szCs w:val="20"/>
          <w:lang w:val="en-GB"/>
        </w:rPr>
      </w:pPr>
      <w:r w:rsidRPr="00817899">
        <w:rPr>
          <w:rFonts w:ascii="Arial" w:hAnsi="Arial" w:cs="Arial"/>
          <w:sz w:val="20"/>
          <w:szCs w:val="20"/>
          <w:lang w:val="en-GB"/>
        </w:rPr>
        <w:t>____________________________________</w:t>
      </w:r>
      <w:r w:rsidRPr="00817899">
        <w:rPr>
          <w:rFonts w:ascii="Arial" w:hAnsi="Arial" w:cs="Arial"/>
          <w:sz w:val="20"/>
          <w:szCs w:val="20"/>
          <w:lang w:val="en-GB"/>
        </w:rPr>
        <w:tab/>
      </w:r>
      <w:r w:rsidRPr="00817899">
        <w:rPr>
          <w:rFonts w:ascii="Arial" w:hAnsi="Arial" w:cs="Arial"/>
          <w:sz w:val="20"/>
          <w:szCs w:val="20"/>
          <w:lang w:val="en-GB"/>
        </w:rPr>
        <w:tab/>
        <w:t>________________________________</w:t>
      </w:r>
    </w:p>
    <w:p w14:paraId="4D05D8E3" w14:textId="77777777" w:rsidR="002506E9" w:rsidRDefault="002506E9" w:rsidP="00933056">
      <w:pPr>
        <w:rPr>
          <w:rFonts w:ascii="Arial" w:hAnsi="Arial" w:cs="Arial"/>
          <w:lang w:val="en-GB"/>
        </w:rPr>
      </w:pPr>
    </w:p>
    <w:p w14:paraId="6C3F9E21" w14:textId="77777777" w:rsidR="00817899" w:rsidRPr="007D25A1" w:rsidRDefault="00817899" w:rsidP="00933056">
      <w:pPr>
        <w:rPr>
          <w:rFonts w:ascii="Arial" w:hAnsi="Arial" w:cs="Arial"/>
          <w:lang w:val="en-GB"/>
        </w:rPr>
      </w:pPr>
    </w:p>
    <w:p w14:paraId="63B09A33" w14:textId="6713BF75" w:rsidR="002506E9" w:rsidRPr="007D25A1" w:rsidRDefault="007F4AB3" w:rsidP="00933056">
      <w:pPr>
        <w:rPr>
          <w:rFonts w:ascii="Arial" w:hAnsi="Arial" w:cs="Arial"/>
          <w:b/>
          <w:bCs/>
          <w:i/>
          <w:iCs/>
          <w:lang w:val="en-GB"/>
        </w:rPr>
      </w:pPr>
      <w:r w:rsidRPr="007D25A1">
        <w:rPr>
          <w:rFonts w:ascii="Arial" w:hAnsi="Arial" w:cs="Arial"/>
          <w:b/>
          <w:bCs/>
          <w:i/>
          <w:iCs/>
          <w:u w:val="single"/>
          <w:lang w:val="en-GB"/>
        </w:rPr>
        <w:t xml:space="preserve">I consent to the following contact details being provided to the Decision Support Service and </w:t>
      </w:r>
      <w:r w:rsidR="002506E9" w:rsidRPr="007D25A1">
        <w:rPr>
          <w:rFonts w:ascii="Arial" w:hAnsi="Arial" w:cs="Arial"/>
          <w:b/>
          <w:bCs/>
          <w:i/>
          <w:iCs/>
          <w:u w:val="single"/>
          <w:lang w:val="en-GB"/>
        </w:rPr>
        <w:t>Courts Service Circuit Court Operations</w:t>
      </w:r>
      <w:r w:rsidRPr="007D25A1">
        <w:rPr>
          <w:rFonts w:ascii="Arial" w:hAnsi="Arial" w:cs="Arial"/>
          <w:b/>
          <w:bCs/>
          <w:i/>
          <w:iCs/>
          <w:u w:val="single"/>
          <w:lang w:val="en-GB"/>
        </w:rPr>
        <w:t xml:space="preserve"> (for any future review hearings)</w:t>
      </w:r>
    </w:p>
    <w:p w14:paraId="1B9B2005" w14:textId="750076D6" w:rsidR="007F4AB3" w:rsidRPr="007D25A1" w:rsidRDefault="007F4AB3" w:rsidP="00933056">
      <w:pPr>
        <w:rPr>
          <w:rFonts w:ascii="Arial" w:hAnsi="Arial" w:cs="Arial"/>
          <w:lang w:val="en-GB"/>
        </w:rPr>
      </w:pPr>
      <w:r w:rsidRPr="007D25A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BE010" wp14:editId="709C3F3F">
                <wp:simplePos x="0" y="0"/>
                <wp:positionH relativeFrom="column">
                  <wp:posOffset>3131820</wp:posOffset>
                </wp:positionH>
                <wp:positionV relativeFrom="paragraph">
                  <wp:posOffset>10160</wp:posOffset>
                </wp:positionV>
                <wp:extent cx="487680" cy="205740"/>
                <wp:effectExtent l="0" t="0" r="26670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057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31A60" id="Rectangle 3" o:spid="_x0000_s1026" style="position:absolute;margin-left:246.6pt;margin-top:.8pt;width:38.4pt;height:16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" filled="f" strokecolor="#00101a [484]" strokeweight="1pt"/>
            </w:pict>
          </mc:Fallback>
        </mc:AlternateContent>
      </w:r>
      <w:r w:rsidRPr="007D25A1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354CD" wp14:editId="1943A981">
                <wp:simplePos x="0" y="0"/>
                <wp:positionH relativeFrom="column">
                  <wp:posOffset>510540</wp:posOffset>
                </wp:positionH>
                <wp:positionV relativeFrom="paragraph">
                  <wp:posOffset>10160</wp:posOffset>
                </wp:positionV>
                <wp:extent cx="449580" cy="182880"/>
                <wp:effectExtent l="0" t="0" r="26670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" cy="18288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1B2D91" id="Rectangle 1" o:spid="_x0000_s1026" style="position:absolute;margin-left:40.2pt;margin-top:.8pt;width:35.4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" filled="f" strokecolor="#00101a [484]" strokeweight="1.5pt"/>
            </w:pict>
          </mc:Fallback>
        </mc:AlternateContent>
      </w:r>
      <w:r w:rsidRPr="007D25A1">
        <w:rPr>
          <w:rFonts w:ascii="Arial" w:hAnsi="Arial" w:cs="Arial"/>
          <w:lang w:val="en-GB"/>
        </w:rPr>
        <w:t xml:space="preserve">Yes </w:t>
      </w:r>
      <w:r w:rsidRPr="007D25A1">
        <w:rPr>
          <w:rFonts w:ascii="Arial" w:hAnsi="Arial" w:cs="Arial"/>
          <w:lang w:val="en-GB"/>
        </w:rPr>
        <w:tab/>
      </w:r>
      <w:r w:rsidRPr="007D25A1">
        <w:rPr>
          <w:rFonts w:ascii="Arial" w:hAnsi="Arial" w:cs="Arial"/>
          <w:lang w:val="en-GB"/>
        </w:rPr>
        <w:tab/>
      </w:r>
      <w:r w:rsidRPr="007D25A1">
        <w:rPr>
          <w:rFonts w:ascii="Arial" w:hAnsi="Arial" w:cs="Arial"/>
          <w:lang w:val="en-GB"/>
        </w:rPr>
        <w:tab/>
      </w:r>
      <w:r w:rsidRPr="007D25A1">
        <w:rPr>
          <w:rFonts w:ascii="Arial" w:hAnsi="Arial" w:cs="Arial"/>
          <w:lang w:val="en-GB"/>
        </w:rPr>
        <w:tab/>
      </w:r>
      <w:r w:rsidRPr="007D25A1">
        <w:rPr>
          <w:rFonts w:ascii="Arial" w:hAnsi="Arial" w:cs="Arial"/>
          <w:lang w:val="en-GB"/>
        </w:rPr>
        <w:tab/>
      </w:r>
      <w:r w:rsidRPr="007D25A1">
        <w:rPr>
          <w:rFonts w:ascii="Arial" w:hAnsi="Arial" w:cs="Arial"/>
          <w:lang w:val="en-GB"/>
        </w:rPr>
        <w:tab/>
        <w:t xml:space="preserve">No    </w:t>
      </w:r>
    </w:p>
    <w:p w14:paraId="5D1AD02F" w14:textId="407A8CF3" w:rsidR="002506E9" w:rsidRPr="007D25A1" w:rsidRDefault="002506E9" w:rsidP="00933056">
      <w:pPr>
        <w:rPr>
          <w:rFonts w:ascii="Arial" w:hAnsi="Arial" w:cs="Arial"/>
          <w:lang w:val="en-GB"/>
        </w:rPr>
      </w:pPr>
      <w:r w:rsidRPr="007D25A1">
        <w:rPr>
          <w:rFonts w:ascii="Arial" w:hAnsi="Arial" w:cs="Arial"/>
          <w:lang w:val="en-GB"/>
        </w:rPr>
        <w:t xml:space="preserve">Decision-Making Representative Contact </w:t>
      </w:r>
      <w:proofErr w:type="gramStart"/>
      <w:r w:rsidRPr="007D25A1">
        <w:rPr>
          <w:rFonts w:ascii="Arial" w:hAnsi="Arial" w:cs="Arial"/>
          <w:lang w:val="en-GB"/>
        </w:rPr>
        <w:t>Number :</w:t>
      </w:r>
      <w:proofErr w:type="gramEnd"/>
      <w:r w:rsidRPr="007D25A1">
        <w:rPr>
          <w:rFonts w:ascii="Arial" w:hAnsi="Arial" w:cs="Arial"/>
          <w:lang w:val="en-GB"/>
        </w:rPr>
        <w:t xml:space="preserve">  ________________________________</w:t>
      </w:r>
    </w:p>
    <w:p w14:paraId="392F21F3" w14:textId="77777777" w:rsidR="002506E9" w:rsidRPr="007D25A1" w:rsidRDefault="002506E9" w:rsidP="00933056">
      <w:pPr>
        <w:rPr>
          <w:rFonts w:ascii="Arial" w:hAnsi="Arial" w:cs="Arial"/>
          <w:lang w:val="en-GB"/>
        </w:rPr>
      </w:pPr>
    </w:p>
    <w:p w14:paraId="60A09156" w14:textId="6C8CD43F" w:rsidR="002506E9" w:rsidRPr="007D25A1" w:rsidRDefault="002506E9" w:rsidP="00933056">
      <w:pPr>
        <w:rPr>
          <w:rFonts w:ascii="Arial" w:hAnsi="Arial" w:cs="Arial"/>
          <w:lang w:val="en-GB"/>
        </w:rPr>
      </w:pPr>
      <w:r w:rsidRPr="007D25A1">
        <w:rPr>
          <w:rFonts w:ascii="Arial" w:hAnsi="Arial" w:cs="Arial"/>
          <w:lang w:val="en-GB"/>
        </w:rPr>
        <w:t xml:space="preserve">Decision-Making Representative Email </w:t>
      </w:r>
      <w:proofErr w:type="gramStart"/>
      <w:r w:rsidRPr="007D25A1">
        <w:rPr>
          <w:rFonts w:ascii="Arial" w:hAnsi="Arial" w:cs="Arial"/>
          <w:lang w:val="en-GB"/>
        </w:rPr>
        <w:t>Address :</w:t>
      </w:r>
      <w:proofErr w:type="gramEnd"/>
      <w:r w:rsidRPr="007D25A1">
        <w:rPr>
          <w:rFonts w:ascii="Arial" w:hAnsi="Arial" w:cs="Arial"/>
          <w:lang w:val="en-GB"/>
        </w:rPr>
        <w:t xml:space="preserve">     _________________________________</w:t>
      </w:r>
    </w:p>
    <w:p w14:paraId="5FC9DFF4" w14:textId="77777777" w:rsidR="002506E9" w:rsidRPr="007D25A1" w:rsidRDefault="002506E9" w:rsidP="00933056">
      <w:pPr>
        <w:rPr>
          <w:rFonts w:ascii="Arial" w:hAnsi="Arial" w:cs="Arial"/>
          <w:lang w:val="en-GB"/>
        </w:rPr>
      </w:pPr>
    </w:p>
    <w:p w14:paraId="1E919177" w14:textId="77777777" w:rsidR="00933056" w:rsidRDefault="00933056" w:rsidP="00933056">
      <w:pPr>
        <w:rPr>
          <w:rFonts w:ascii="Arial" w:hAnsi="Arial" w:cs="Arial"/>
          <w:lang w:val="en-GB"/>
        </w:rPr>
      </w:pPr>
    </w:p>
    <w:p w14:paraId="5813CB34" w14:textId="77777777" w:rsidR="00FF6AFD" w:rsidRDefault="00FF6AFD" w:rsidP="00933056">
      <w:pPr>
        <w:rPr>
          <w:rFonts w:ascii="Arial" w:hAnsi="Arial" w:cs="Arial"/>
          <w:lang w:val="en-GB"/>
        </w:rPr>
      </w:pPr>
    </w:p>
    <w:p w14:paraId="3D77D6F0" w14:textId="123D1D77" w:rsidR="00FF6AFD" w:rsidRDefault="00FF6AFD" w:rsidP="00FF6AFD">
      <w:pPr>
        <w:jc w:val="center"/>
        <w:rPr>
          <w:rFonts w:ascii="Arial" w:hAnsi="Arial" w:cs="Arial"/>
          <w:b/>
          <w:bCs/>
          <w:u w:val="single"/>
          <w:lang w:val="en-GB"/>
        </w:rPr>
      </w:pPr>
      <w:r w:rsidRPr="00FF6AFD">
        <w:rPr>
          <w:rFonts w:ascii="Arial" w:hAnsi="Arial" w:cs="Arial"/>
          <w:b/>
          <w:bCs/>
          <w:u w:val="single"/>
          <w:lang w:val="en-GB"/>
        </w:rPr>
        <w:t>Schedule</w:t>
      </w:r>
    </w:p>
    <w:p w14:paraId="1672B2AB" w14:textId="77777777" w:rsidR="00613642" w:rsidRPr="00613642" w:rsidRDefault="00613642" w:rsidP="00613642">
      <w:pPr>
        <w:pStyle w:val="NormalWeb"/>
        <w:shd w:val="clear" w:color="auto" w:fill="FFFFFF"/>
        <w:spacing w:line="336" w:lineRule="atLeast"/>
        <w:jc w:val="center"/>
        <w:rPr>
          <w:rFonts w:ascii="Arial" w:hAnsi="Arial" w:cs="Arial"/>
          <w:b/>
          <w:bCs/>
          <w:lang w:val="en-GB"/>
        </w:rPr>
      </w:pPr>
      <w:r w:rsidRPr="00613642">
        <w:rPr>
          <w:rFonts w:ascii="Arial" w:hAnsi="Arial" w:cs="Arial"/>
          <w:b/>
          <w:bCs/>
          <w:lang w:val="en-GB"/>
        </w:rPr>
        <w:lastRenderedPageBreak/>
        <w:t>Section 39 of the Assisted Decision-Making Capacity Act 2015 as amended,</w:t>
      </w:r>
    </w:p>
    <w:p w14:paraId="1DBED1A4" w14:textId="673C7C20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b/>
          <w:bCs/>
          <w:color w:val="444444"/>
          <w:sz w:val="21"/>
          <w:szCs w:val="21"/>
        </w:rPr>
      </w:pPr>
      <w:r>
        <w:rPr>
          <w:rFonts w:ascii="Ubuntu" w:hAnsi="Ubuntu"/>
          <w:b/>
          <w:bCs/>
          <w:color w:val="444444"/>
          <w:sz w:val="21"/>
          <w:szCs w:val="21"/>
        </w:rPr>
        <w:t>Persons who are not eligible to be decision-making representatives</w:t>
      </w:r>
    </w:p>
    <w:p w14:paraId="3C7D3B2C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b/>
          <w:bCs/>
          <w:color w:val="444444"/>
          <w:sz w:val="21"/>
          <w:szCs w:val="21"/>
        </w:rPr>
        <w:t>39.</w:t>
      </w:r>
      <w:r>
        <w:rPr>
          <w:rFonts w:ascii="Ubuntu" w:hAnsi="Ubuntu"/>
          <w:color w:val="444444"/>
          <w:sz w:val="21"/>
          <w:szCs w:val="21"/>
        </w:rPr>
        <w:t> (1) Subject to </w:t>
      </w:r>
      <w:r>
        <w:rPr>
          <w:rFonts w:ascii="Ubuntu" w:hAnsi="Ubuntu"/>
          <w:i/>
          <w:iCs/>
          <w:color w:val="444444"/>
          <w:sz w:val="21"/>
          <w:szCs w:val="21"/>
        </w:rPr>
        <w:t>subsection (2)</w:t>
      </w:r>
      <w:r>
        <w:rPr>
          <w:rFonts w:ascii="Ubuntu" w:hAnsi="Ubuntu"/>
          <w:color w:val="444444"/>
          <w:sz w:val="21"/>
          <w:szCs w:val="21"/>
        </w:rPr>
        <w:t>, a person shall not be eligible for appointment as a decision-making representative if he or she—</w:t>
      </w:r>
    </w:p>
    <w:p w14:paraId="2B53E279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(a) has been convicted of an offence in relation to the person or property of the relevant person or the person or property of a child of that person,</w:t>
      </w:r>
    </w:p>
    <w:p w14:paraId="4C240D7B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(b) has been the subject of a safety or barring order in relation to the relevant person or a child of that person,</w:t>
      </w:r>
    </w:p>
    <w:p w14:paraId="1E25F324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(c) is an undischarged bankrupt or is currently in a debt settlement arrangement or personal insolvency arrangement or has been convicted of an offence involving fraud or dishonesty,</w:t>
      </w:r>
    </w:p>
    <w:p w14:paraId="30ED5C2F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(d) is a person in respect of whom a declaration under section 819 of the Act of 2014 has been made or is deemed to be subject to such a declaration by virtue of Chapter 5 of Part 14 of that Act,</w:t>
      </w:r>
    </w:p>
    <w:p w14:paraId="1CF64214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(e) is a person who is subject or is deemed to be subject to a disqualification order, within the meaning of Chapter 4 of Part 14 of the Act of 2014, by virtue of that Chapter or any other provisions of that Act,</w:t>
      </w:r>
    </w:p>
    <w:p w14:paraId="2E51CC4A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(f) is a person who is—</w:t>
      </w:r>
    </w:p>
    <w:p w14:paraId="1316F041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</w:t>
      </w:r>
      <w:proofErr w:type="spellStart"/>
      <w:r>
        <w:rPr>
          <w:rFonts w:ascii="Ubuntu" w:hAnsi="Ubuntu"/>
          <w:color w:val="444444"/>
          <w:sz w:val="21"/>
          <w:szCs w:val="21"/>
        </w:rPr>
        <w:t>i</w:t>
      </w:r>
      <w:proofErr w:type="spellEnd"/>
      <w:r>
        <w:rPr>
          <w:rFonts w:ascii="Ubuntu" w:hAnsi="Ubuntu"/>
          <w:color w:val="444444"/>
          <w:sz w:val="21"/>
          <w:szCs w:val="21"/>
        </w:rPr>
        <w:t>) the owner or registered provider of a designated centre or mental health facility in which the relevant person resides, or</w:t>
      </w:r>
    </w:p>
    <w:p w14:paraId="720B9805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(ii) residing with, or an employee or agent of, such owner or registered provider, as the case may be,</w:t>
      </w:r>
    </w:p>
    <w:p w14:paraId="41D3F0AD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unless the person is a spouse, civil partner, cohabitant, parent, child or sibling of the relevant person, or</w:t>
      </w:r>
    </w:p>
    <w:p w14:paraId="7AC4F63C" w14:textId="209DBC8D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(g) has been convicted of an offence under </w:t>
      </w:r>
      <w:r>
        <w:rPr>
          <w:rStyle w:val="change"/>
          <w:rFonts w:ascii="Ubuntu" w:hAnsi="Ubuntu"/>
          <w:i/>
          <w:iCs/>
          <w:color w:val="444444"/>
          <w:sz w:val="21"/>
          <w:szCs w:val="21"/>
        </w:rPr>
        <w:t>section 15A, 34,</w:t>
      </w:r>
      <w:r>
        <w:rPr>
          <w:rFonts w:ascii="Ubuntu" w:hAnsi="Ubuntu"/>
          <w:color w:val="444444"/>
          <w:sz w:val="21"/>
          <w:szCs w:val="21"/>
        </w:rPr>
        <w:t> </w:t>
      </w:r>
      <w:hyperlink r:id="rId7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80</w:t>
        </w:r>
      </w:hyperlink>
      <w:r>
        <w:rPr>
          <w:rFonts w:ascii="Ubuntu" w:hAnsi="Ubuntu"/>
          <w:color w:val="444444"/>
          <w:sz w:val="21"/>
          <w:szCs w:val="21"/>
        </w:rPr>
        <w:t>, </w:t>
      </w:r>
      <w:hyperlink r:id="rId8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90</w:t>
        </w:r>
      </w:hyperlink>
      <w:r>
        <w:rPr>
          <w:rFonts w:ascii="Ubuntu" w:hAnsi="Ubuntu"/>
          <w:color w:val="444444"/>
          <w:sz w:val="21"/>
          <w:szCs w:val="21"/>
        </w:rPr>
        <w:t> or </w:t>
      </w:r>
      <w:hyperlink r:id="rId9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145</w:t>
        </w:r>
      </w:hyperlink>
      <w:r>
        <w:rPr>
          <w:rFonts w:ascii="Ubuntu" w:hAnsi="Ubuntu"/>
          <w:color w:val="444444"/>
          <w:sz w:val="21"/>
          <w:szCs w:val="21"/>
        </w:rPr>
        <w:t>.</w:t>
      </w:r>
      <w:r w:rsidR="003575B3">
        <w:rPr>
          <w:rFonts w:ascii="Ubuntu" w:hAnsi="Ubuntu"/>
          <w:color w:val="444444"/>
          <w:sz w:val="21"/>
          <w:szCs w:val="21"/>
        </w:rPr>
        <w:t xml:space="preserve"> </w:t>
      </w:r>
      <w:r w:rsidR="003575B3" w:rsidRPr="003575B3">
        <w:rPr>
          <w:rFonts w:ascii="Ubuntu" w:hAnsi="Ubuntu"/>
          <w:b/>
          <w:bCs/>
          <w:color w:val="444444"/>
          <w:sz w:val="21"/>
          <w:szCs w:val="21"/>
        </w:rPr>
        <w:t>[See Note</w:t>
      </w:r>
      <w:r w:rsidR="003575B3">
        <w:rPr>
          <w:rFonts w:ascii="Ubuntu" w:hAnsi="Ubuntu"/>
          <w:b/>
          <w:bCs/>
          <w:color w:val="444444"/>
          <w:sz w:val="21"/>
          <w:szCs w:val="21"/>
        </w:rPr>
        <w:t xml:space="preserve"> below</w:t>
      </w:r>
      <w:r w:rsidR="003575B3" w:rsidRPr="003575B3">
        <w:rPr>
          <w:rFonts w:ascii="Ubuntu" w:hAnsi="Ubuntu"/>
          <w:b/>
          <w:bCs/>
          <w:color w:val="444444"/>
          <w:sz w:val="21"/>
          <w:szCs w:val="21"/>
        </w:rPr>
        <w:t>]</w:t>
      </w:r>
    </w:p>
    <w:p w14:paraId="71275062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(2) Subsections (1)</w:t>
      </w:r>
      <w:r>
        <w:rPr>
          <w:rFonts w:ascii="Ubuntu" w:hAnsi="Ubuntu"/>
          <w:i/>
          <w:iCs/>
          <w:color w:val="444444"/>
          <w:sz w:val="21"/>
          <w:szCs w:val="21"/>
        </w:rPr>
        <w:t>(c)</w:t>
      </w:r>
      <w:r>
        <w:rPr>
          <w:rFonts w:ascii="Ubuntu" w:hAnsi="Ubuntu"/>
          <w:color w:val="444444"/>
          <w:sz w:val="21"/>
          <w:szCs w:val="21"/>
        </w:rPr>
        <w:t>, </w:t>
      </w:r>
      <w:r>
        <w:rPr>
          <w:rFonts w:ascii="Ubuntu" w:hAnsi="Ubuntu"/>
          <w:i/>
          <w:iCs/>
          <w:color w:val="444444"/>
          <w:sz w:val="21"/>
          <w:szCs w:val="21"/>
        </w:rPr>
        <w:t>(d)</w:t>
      </w:r>
      <w:r>
        <w:rPr>
          <w:rFonts w:ascii="Ubuntu" w:hAnsi="Ubuntu"/>
          <w:color w:val="444444"/>
          <w:sz w:val="21"/>
          <w:szCs w:val="21"/>
        </w:rPr>
        <w:t> and </w:t>
      </w:r>
      <w:r>
        <w:rPr>
          <w:rFonts w:ascii="Ubuntu" w:hAnsi="Ubuntu"/>
          <w:i/>
          <w:iCs/>
          <w:color w:val="444444"/>
          <w:sz w:val="21"/>
          <w:szCs w:val="21"/>
        </w:rPr>
        <w:t>(e)</w:t>
      </w:r>
      <w:r>
        <w:rPr>
          <w:rFonts w:ascii="Ubuntu" w:hAnsi="Ubuntu"/>
          <w:color w:val="444444"/>
          <w:sz w:val="21"/>
          <w:szCs w:val="21"/>
        </w:rPr>
        <w:t> shall not apply as respects the appointment of a person as a decision-making representative in respect of relevant decisions concerning personal welfare matters only.</w:t>
      </w:r>
    </w:p>
    <w:p w14:paraId="43CE28C5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</w:p>
    <w:p w14:paraId="0E6776C8" w14:textId="0A740C07" w:rsidR="00613642" w:rsidRDefault="00613642">
      <w:pPr>
        <w:rPr>
          <w:rFonts w:ascii="Ubuntu" w:eastAsia="Times New Roman" w:hAnsi="Ubuntu" w:cs="Times New Roman"/>
          <w:color w:val="444444"/>
          <w:kern w:val="0"/>
          <w:sz w:val="21"/>
          <w:szCs w:val="21"/>
          <w:lang w:eastAsia="en-IE"/>
          <w14:ligatures w14:val="none"/>
        </w:rPr>
      </w:pPr>
      <w:r>
        <w:rPr>
          <w:rFonts w:ascii="Ubuntu" w:hAnsi="Ubuntu"/>
          <w:color w:val="444444"/>
          <w:sz w:val="21"/>
          <w:szCs w:val="21"/>
        </w:rPr>
        <w:br w:type="page"/>
      </w:r>
    </w:p>
    <w:p w14:paraId="20FE1B92" w14:textId="49EB2FCF" w:rsidR="00613642" w:rsidRPr="00613642" w:rsidRDefault="00613642" w:rsidP="00613642">
      <w:pPr>
        <w:pStyle w:val="NormalWeb"/>
        <w:shd w:val="clear" w:color="auto" w:fill="FFFFFF"/>
        <w:spacing w:line="336" w:lineRule="atLeast"/>
        <w:jc w:val="center"/>
        <w:rPr>
          <w:rFonts w:ascii="Ubuntu" w:hAnsi="Ubuntu"/>
          <w:b/>
          <w:bCs/>
          <w:color w:val="444444"/>
          <w:sz w:val="21"/>
          <w:szCs w:val="21"/>
        </w:rPr>
      </w:pPr>
      <w:r w:rsidRPr="00613642">
        <w:rPr>
          <w:rFonts w:ascii="Ubuntu" w:hAnsi="Ubuntu"/>
          <w:b/>
          <w:bCs/>
          <w:color w:val="444444"/>
          <w:sz w:val="21"/>
          <w:szCs w:val="21"/>
        </w:rPr>
        <w:lastRenderedPageBreak/>
        <w:t>Section 40 of the Assisted Decision-Making (Capacity) Act 2015 as amended</w:t>
      </w:r>
    </w:p>
    <w:p w14:paraId="3CE1E1A9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b/>
          <w:bCs/>
          <w:color w:val="444444"/>
          <w:sz w:val="21"/>
          <w:szCs w:val="21"/>
        </w:rPr>
      </w:pPr>
      <w:r>
        <w:rPr>
          <w:rFonts w:ascii="Ubuntu" w:hAnsi="Ubuntu"/>
          <w:b/>
          <w:bCs/>
          <w:color w:val="444444"/>
          <w:sz w:val="21"/>
          <w:szCs w:val="21"/>
        </w:rPr>
        <w:t>Disqualification as decision-making representative</w:t>
      </w:r>
    </w:p>
    <w:p w14:paraId="409ADE2C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b/>
          <w:bCs/>
          <w:color w:val="444444"/>
          <w:sz w:val="21"/>
          <w:szCs w:val="21"/>
        </w:rPr>
        <w:t>40.</w:t>
      </w:r>
      <w:r>
        <w:rPr>
          <w:rFonts w:ascii="Ubuntu" w:hAnsi="Ubuntu"/>
          <w:color w:val="444444"/>
          <w:sz w:val="21"/>
          <w:szCs w:val="21"/>
        </w:rPr>
        <w:t> (1) A decision-making representative shall, with effect from the date on which an event specified in </w:t>
      </w:r>
      <w:r>
        <w:rPr>
          <w:rFonts w:ascii="Ubuntu" w:hAnsi="Ubuntu"/>
          <w:i/>
          <w:iCs/>
          <w:color w:val="444444"/>
          <w:sz w:val="21"/>
          <w:szCs w:val="21"/>
        </w:rPr>
        <w:t>paragraphs (a)</w:t>
      </w:r>
      <w:r>
        <w:rPr>
          <w:rFonts w:ascii="Ubuntu" w:hAnsi="Ubuntu"/>
          <w:color w:val="444444"/>
          <w:sz w:val="21"/>
          <w:szCs w:val="21"/>
        </w:rPr>
        <w:t> to </w:t>
      </w:r>
      <w:r>
        <w:rPr>
          <w:rFonts w:ascii="Ubuntu" w:hAnsi="Ubuntu"/>
          <w:i/>
          <w:iCs/>
          <w:color w:val="444444"/>
          <w:sz w:val="21"/>
          <w:szCs w:val="21"/>
        </w:rPr>
        <w:t>(c)</w:t>
      </w:r>
      <w:r>
        <w:rPr>
          <w:rFonts w:ascii="Ubuntu" w:hAnsi="Ubuntu"/>
          <w:color w:val="444444"/>
          <w:sz w:val="21"/>
          <w:szCs w:val="21"/>
        </w:rPr>
        <w:t> occurs or, in the case of an event specified in </w:t>
      </w:r>
      <w:r>
        <w:rPr>
          <w:rFonts w:ascii="Ubuntu" w:hAnsi="Ubuntu"/>
          <w:i/>
          <w:iCs/>
          <w:color w:val="444444"/>
          <w:sz w:val="21"/>
          <w:szCs w:val="21"/>
        </w:rPr>
        <w:t>paragraph (d)</w:t>
      </w:r>
      <w:r>
        <w:rPr>
          <w:rFonts w:ascii="Ubuntu" w:hAnsi="Ubuntu"/>
          <w:color w:val="444444"/>
          <w:sz w:val="21"/>
          <w:szCs w:val="21"/>
        </w:rPr>
        <w:t>, at the expiry of the period referred to in that paragraph, be disqualified from being a decision-making representative for the relevant person where the decision-making representative is the spouse of the relevant person and—</w:t>
      </w:r>
    </w:p>
    <w:p w14:paraId="104A064B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(a) the marriage is annulled or dissolved either—</w:t>
      </w:r>
    </w:p>
    <w:p w14:paraId="02E02997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</w:t>
      </w:r>
      <w:proofErr w:type="spellStart"/>
      <w:r>
        <w:rPr>
          <w:rFonts w:ascii="Ubuntu" w:hAnsi="Ubuntu"/>
          <w:color w:val="444444"/>
          <w:sz w:val="21"/>
          <w:szCs w:val="21"/>
        </w:rPr>
        <w:t>i</w:t>
      </w:r>
      <w:proofErr w:type="spellEnd"/>
      <w:r>
        <w:rPr>
          <w:rFonts w:ascii="Ubuntu" w:hAnsi="Ubuntu"/>
          <w:color w:val="444444"/>
          <w:sz w:val="21"/>
          <w:szCs w:val="21"/>
        </w:rPr>
        <w:t>) under the law of the State, or</w:t>
      </w:r>
    </w:p>
    <w:p w14:paraId="6CA83E20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(ii) under the law of another state and is, by reason of that annulment or dissolution, not or no longer a subsisting valid marriage under the law of the State,</w:t>
      </w:r>
    </w:p>
    <w:p w14:paraId="0D643B48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(b) either a decree of judicial separation is granted to either spouse by a court in the State or any decree is so granted by a court outside the State and is recognised in the State as having like effect,</w:t>
      </w:r>
    </w:p>
    <w:p w14:paraId="5942E1B1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(c) a written agreement to separate is entered into between the spouses, or</w:t>
      </w:r>
    </w:p>
    <w:p w14:paraId="75D92767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(d) subject to </w:t>
      </w:r>
      <w:hyperlink r:id="rId10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section 2</w:t>
        </w:r>
      </w:hyperlink>
      <w:r>
        <w:rPr>
          <w:rFonts w:ascii="Ubuntu" w:hAnsi="Ubuntu"/>
          <w:i/>
          <w:iCs/>
          <w:color w:val="444444"/>
          <w:sz w:val="21"/>
          <w:szCs w:val="21"/>
        </w:rPr>
        <w:t>(2)</w:t>
      </w:r>
      <w:r>
        <w:rPr>
          <w:rFonts w:ascii="Ubuntu" w:hAnsi="Ubuntu"/>
          <w:color w:val="444444"/>
          <w:sz w:val="21"/>
          <w:szCs w:val="21"/>
        </w:rPr>
        <w:t>, the spouses separate and cease to cohabit for a continuous period of 12 months.</w:t>
      </w:r>
    </w:p>
    <w:p w14:paraId="26C98E09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(2) A decision-making representative shall, with effect from the date on which an event specified in </w:t>
      </w:r>
      <w:r>
        <w:rPr>
          <w:rFonts w:ascii="Ubuntu" w:hAnsi="Ubuntu"/>
          <w:i/>
          <w:iCs/>
          <w:color w:val="444444"/>
          <w:sz w:val="21"/>
          <w:szCs w:val="21"/>
        </w:rPr>
        <w:t>paragraph (a)</w:t>
      </w:r>
      <w:r>
        <w:rPr>
          <w:rFonts w:ascii="Ubuntu" w:hAnsi="Ubuntu"/>
          <w:color w:val="444444"/>
          <w:sz w:val="21"/>
          <w:szCs w:val="21"/>
        </w:rPr>
        <w:t> or </w:t>
      </w:r>
      <w:r>
        <w:rPr>
          <w:rFonts w:ascii="Ubuntu" w:hAnsi="Ubuntu"/>
          <w:i/>
          <w:iCs/>
          <w:color w:val="444444"/>
          <w:sz w:val="21"/>
          <w:szCs w:val="21"/>
        </w:rPr>
        <w:t>(b)</w:t>
      </w:r>
      <w:r>
        <w:rPr>
          <w:rFonts w:ascii="Ubuntu" w:hAnsi="Ubuntu"/>
          <w:color w:val="444444"/>
          <w:sz w:val="21"/>
          <w:szCs w:val="21"/>
        </w:rPr>
        <w:t> occurs or, in the case of an event specified in </w:t>
      </w:r>
      <w:r>
        <w:rPr>
          <w:rFonts w:ascii="Ubuntu" w:hAnsi="Ubuntu"/>
          <w:i/>
          <w:iCs/>
          <w:color w:val="444444"/>
          <w:sz w:val="21"/>
          <w:szCs w:val="21"/>
        </w:rPr>
        <w:t>paragraph (c)</w:t>
      </w:r>
      <w:r>
        <w:rPr>
          <w:rFonts w:ascii="Ubuntu" w:hAnsi="Ubuntu"/>
          <w:color w:val="444444"/>
          <w:sz w:val="21"/>
          <w:szCs w:val="21"/>
        </w:rPr>
        <w:t>, at the expiry of the period referred to in that paragraph, be disqualified from being a decision-making representative for the relevant person where the decision-making representative is the civil partner of the relevant person and—</w:t>
      </w:r>
    </w:p>
    <w:p w14:paraId="1D5AAD3D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(a) the civil partnership is annulled or dissolved (other than where the dissolution occurs by virtue of the parties to that civil partnership marrying each other) either—</w:t>
      </w:r>
    </w:p>
    <w:p w14:paraId="3AB4B8F4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</w:t>
      </w:r>
      <w:proofErr w:type="spellStart"/>
      <w:r>
        <w:rPr>
          <w:rFonts w:ascii="Ubuntu" w:hAnsi="Ubuntu"/>
          <w:color w:val="444444"/>
          <w:sz w:val="21"/>
          <w:szCs w:val="21"/>
        </w:rPr>
        <w:t>i</w:t>
      </w:r>
      <w:proofErr w:type="spellEnd"/>
      <w:r>
        <w:rPr>
          <w:rFonts w:ascii="Ubuntu" w:hAnsi="Ubuntu"/>
          <w:color w:val="444444"/>
          <w:sz w:val="21"/>
          <w:szCs w:val="21"/>
        </w:rPr>
        <w:t>) under the law of the State, or</w:t>
      </w:r>
    </w:p>
    <w:p w14:paraId="42284088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(ii) under the law of another state and is, by means of that annulment or dissolution not or no longer a subsisting valid civil partnership under the law of the State,</w:t>
      </w:r>
    </w:p>
    <w:p w14:paraId="1D407DB8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(b) a written agreement to separate is entered into between the civil partners, or</w:t>
      </w:r>
    </w:p>
    <w:p w14:paraId="4E23CD4A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(c) subject to </w:t>
      </w:r>
      <w:hyperlink r:id="rId11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section 2</w:t>
        </w:r>
      </w:hyperlink>
      <w:r>
        <w:rPr>
          <w:rFonts w:ascii="Ubuntu" w:hAnsi="Ubuntu"/>
          <w:i/>
          <w:iCs/>
          <w:color w:val="444444"/>
          <w:sz w:val="21"/>
          <w:szCs w:val="21"/>
        </w:rPr>
        <w:t>(2)</w:t>
      </w:r>
      <w:r>
        <w:rPr>
          <w:rFonts w:ascii="Ubuntu" w:hAnsi="Ubuntu"/>
          <w:color w:val="444444"/>
          <w:sz w:val="21"/>
          <w:szCs w:val="21"/>
        </w:rPr>
        <w:t>, the civil partners separate and cease to cohabit for a continuous period of 12 months.</w:t>
      </w:r>
    </w:p>
    <w:p w14:paraId="4E877ABB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(3) Subject to </w:t>
      </w:r>
      <w:hyperlink r:id="rId12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section 2</w:t>
        </w:r>
      </w:hyperlink>
      <w:r>
        <w:rPr>
          <w:rFonts w:ascii="Ubuntu" w:hAnsi="Ubuntu"/>
          <w:i/>
          <w:iCs/>
          <w:color w:val="444444"/>
          <w:sz w:val="21"/>
          <w:szCs w:val="21"/>
        </w:rPr>
        <w:t>(2)</w:t>
      </w:r>
      <w:r>
        <w:rPr>
          <w:rFonts w:ascii="Ubuntu" w:hAnsi="Ubuntu"/>
          <w:color w:val="444444"/>
          <w:sz w:val="21"/>
          <w:szCs w:val="21"/>
        </w:rPr>
        <w:t>, a decision-making representative shall, at the expiry of the period referred to in this subsection, be disqualified from being a decision-making representative for the relevant person where the decision-making representative is the cohabitant of the appointer and the cohabitants separate and cease to cohabit for a continuous period of 12 months.</w:t>
      </w:r>
    </w:p>
    <w:p w14:paraId="3E7C3286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lastRenderedPageBreak/>
        <w:t>(4) Subject to </w:t>
      </w:r>
      <w:r>
        <w:rPr>
          <w:rFonts w:ascii="Ubuntu" w:hAnsi="Ubuntu"/>
          <w:i/>
          <w:iCs/>
          <w:color w:val="444444"/>
          <w:sz w:val="21"/>
          <w:szCs w:val="21"/>
        </w:rPr>
        <w:t>subsection (5)</w:t>
      </w:r>
      <w:r>
        <w:rPr>
          <w:rFonts w:ascii="Ubuntu" w:hAnsi="Ubuntu"/>
          <w:color w:val="444444"/>
          <w:sz w:val="21"/>
          <w:szCs w:val="21"/>
        </w:rPr>
        <w:t xml:space="preserve">, </w:t>
      </w:r>
      <w:proofErr w:type="gramStart"/>
      <w:r>
        <w:rPr>
          <w:rFonts w:ascii="Ubuntu" w:hAnsi="Ubuntu"/>
          <w:color w:val="444444"/>
          <w:sz w:val="21"/>
          <w:szCs w:val="21"/>
        </w:rPr>
        <w:t>where</w:t>
      </w:r>
      <w:proofErr w:type="gramEnd"/>
      <w:r>
        <w:rPr>
          <w:rFonts w:ascii="Ubuntu" w:hAnsi="Ubuntu"/>
          <w:color w:val="444444"/>
          <w:sz w:val="21"/>
          <w:szCs w:val="21"/>
        </w:rPr>
        <w:t>, subsequent to the appointment of a decision-making representative—</w:t>
      </w:r>
    </w:p>
    <w:p w14:paraId="3DAB094F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(a) the decision-making representative is convicted of an offence in relation to the person or property of the relevant person or the person or property of a child of the relevant person,</w:t>
      </w:r>
    </w:p>
    <w:p w14:paraId="6590F23D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(b) a safety or barring order is made against the decision-making representative in relation to the relevant person or a child of the relevant person,</w:t>
      </w:r>
    </w:p>
    <w:p w14:paraId="04AA0680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(c) the decision-making representative becomes an undischarged bankrupt or subject to a debt settlement arrangement or personal insolvency arrangement which is current or is convicted of an offence involving fraud or dishonesty,</w:t>
      </w:r>
    </w:p>
    <w:p w14:paraId="09C8050A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(d) the decision-making representative becomes a person in respect of whom a declaration under section 819 of the Act of 2014 has been made or is deemed to be subject to such a declaration by virtue of Chapter 5 of Part 14 of that Act,</w:t>
      </w:r>
    </w:p>
    <w:p w14:paraId="59760E5F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(e) the decision-making representative becomes a person who is subject or is deemed to be subject to a disqualification order within the meaning of Chapter 4 of Part 14 of the Act of 2014 by virtue of that Chapter or any other provisions of that Act,</w:t>
      </w:r>
    </w:p>
    <w:p w14:paraId="21124621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(f) the decision-making representative becomes—</w:t>
      </w:r>
    </w:p>
    <w:p w14:paraId="55191DE1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</w:t>
      </w:r>
      <w:proofErr w:type="spellStart"/>
      <w:r>
        <w:rPr>
          <w:rFonts w:ascii="Ubuntu" w:hAnsi="Ubuntu"/>
          <w:color w:val="444444"/>
          <w:sz w:val="21"/>
          <w:szCs w:val="21"/>
        </w:rPr>
        <w:t>i</w:t>
      </w:r>
      <w:proofErr w:type="spellEnd"/>
      <w:r>
        <w:rPr>
          <w:rFonts w:ascii="Ubuntu" w:hAnsi="Ubuntu"/>
          <w:color w:val="444444"/>
          <w:sz w:val="21"/>
          <w:szCs w:val="21"/>
        </w:rPr>
        <w:t>) the owner or registered provider of a designated centre or mental health facility in which the relevant person resides, or</w:t>
      </w:r>
    </w:p>
    <w:p w14:paraId="3F9C1BED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(ii) a person residing with, or an employee or agent of, such owner or registered provider, as the case may be,</w:t>
      </w:r>
    </w:p>
    <w:p w14:paraId="62E82F1C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unless the decision-making representative is a spouse, civil partner, cohabitant, parent, child or sibling of the appointer,</w:t>
      </w:r>
    </w:p>
    <w:p w14:paraId="0064211D" w14:textId="3CD0B66E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(g) the decision-making representative is convicted of an offence under </w:t>
      </w:r>
      <w:r>
        <w:rPr>
          <w:rStyle w:val="change"/>
          <w:rFonts w:ascii="Ubuntu" w:hAnsi="Ubuntu"/>
          <w:i/>
          <w:iCs/>
          <w:color w:val="444444"/>
          <w:sz w:val="21"/>
          <w:szCs w:val="21"/>
        </w:rPr>
        <w:t>section 15A, 34,</w:t>
      </w:r>
      <w:r>
        <w:rPr>
          <w:rFonts w:ascii="Ubuntu" w:hAnsi="Ubuntu"/>
          <w:color w:val="444444"/>
          <w:sz w:val="21"/>
          <w:szCs w:val="21"/>
        </w:rPr>
        <w:t> </w:t>
      </w:r>
      <w:hyperlink r:id="rId13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80</w:t>
        </w:r>
      </w:hyperlink>
      <w:r>
        <w:rPr>
          <w:rFonts w:ascii="Ubuntu" w:hAnsi="Ubuntu"/>
          <w:color w:val="444444"/>
          <w:sz w:val="21"/>
          <w:szCs w:val="21"/>
        </w:rPr>
        <w:t>, </w:t>
      </w:r>
      <w:hyperlink r:id="rId14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90</w:t>
        </w:r>
      </w:hyperlink>
      <w:r>
        <w:rPr>
          <w:rFonts w:ascii="Ubuntu" w:hAnsi="Ubuntu"/>
          <w:color w:val="444444"/>
          <w:sz w:val="21"/>
          <w:szCs w:val="21"/>
        </w:rPr>
        <w:t> or </w:t>
      </w:r>
      <w:hyperlink r:id="rId15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145</w:t>
        </w:r>
      </w:hyperlink>
      <w:r>
        <w:rPr>
          <w:rFonts w:ascii="Ubuntu" w:hAnsi="Ubuntu"/>
          <w:color w:val="444444"/>
          <w:sz w:val="21"/>
          <w:szCs w:val="21"/>
        </w:rPr>
        <w:t xml:space="preserve">, </w:t>
      </w:r>
      <w:r w:rsidR="007E5856">
        <w:rPr>
          <w:rFonts w:ascii="Ubuntu" w:hAnsi="Ubuntu"/>
          <w:color w:val="444444"/>
          <w:sz w:val="21"/>
          <w:szCs w:val="21"/>
        </w:rPr>
        <w:t xml:space="preserve"> of the Act</w:t>
      </w:r>
      <w:r w:rsidR="00045032">
        <w:rPr>
          <w:rFonts w:ascii="Ubuntu" w:hAnsi="Ubuntu"/>
          <w:color w:val="444444"/>
          <w:sz w:val="21"/>
          <w:szCs w:val="21"/>
        </w:rPr>
        <w:t xml:space="preserve"> </w:t>
      </w:r>
      <w:r w:rsidR="00045032" w:rsidRPr="00045032">
        <w:rPr>
          <w:rFonts w:ascii="Ubuntu" w:hAnsi="Ubuntu"/>
          <w:b/>
          <w:bCs/>
          <w:color w:val="444444"/>
          <w:sz w:val="21"/>
          <w:szCs w:val="21"/>
        </w:rPr>
        <w:t>[</w:t>
      </w:r>
      <w:r w:rsidR="00045032" w:rsidRPr="005F1BBD">
        <w:rPr>
          <w:rFonts w:ascii="Ubuntu" w:hAnsi="Ubuntu"/>
          <w:b/>
          <w:bCs/>
          <w:color w:val="444444"/>
          <w:sz w:val="21"/>
          <w:szCs w:val="21"/>
          <w:u w:val="single"/>
        </w:rPr>
        <w:t>see note below</w:t>
      </w:r>
      <w:r w:rsidR="00045032" w:rsidRPr="00045032">
        <w:rPr>
          <w:rFonts w:ascii="Ubuntu" w:hAnsi="Ubuntu"/>
          <w:b/>
          <w:bCs/>
          <w:color w:val="444444"/>
          <w:sz w:val="21"/>
          <w:szCs w:val="21"/>
        </w:rPr>
        <w:t xml:space="preserve">] </w:t>
      </w:r>
      <w:r w:rsidR="007E5856" w:rsidRPr="00045032">
        <w:rPr>
          <w:rFonts w:ascii="Ubuntu" w:hAnsi="Ubuntu"/>
          <w:b/>
          <w:bCs/>
          <w:color w:val="444444"/>
          <w:sz w:val="21"/>
          <w:szCs w:val="21"/>
        </w:rPr>
        <w:t xml:space="preserve"> </w:t>
      </w:r>
      <w:r>
        <w:rPr>
          <w:rFonts w:ascii="Ubuntu" w:hAnsi="Ubuntu"/>
          <w:color w:val="444444"/>
          <w:sz w:val="21"/>
          <w:szCs w:val="21"/>
        </w:rPr>
        <w:t>or</w:t>
      </w:r>
    </w:p>
    <w:p w14:paraId="1C570425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(h) the decision-making representative—</w:t>
      </w:r>
    </w:p>
    <w:p w14:paraId="5146B22B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</w:t>
      </w:r>
      <w:proofErr w:type="spellStart"/>
      <w:r>
        <w:rPr>
          <w:rFonts w:ascii="Ubuntu" w:hAnsi="Ubuntu"/>
          <w:color w:val="444444"/>
          <w:sz w:val="21"/>
          <w:szCs w:val="21"/>
        </w:rPr>
        <w:t>i</w:t>
      </w:r>
      <w:proofErr w:type="spellEnd"/>
      <w:r>
        <w:rPr>
          <w:rFonts w:ascii="Ubuntu" w:hAnsi="Ubuntu"/>
          <w:color w:val="444444"/>
          <w:sz w:val="21"/>
          <w:szCs w:val="21"/>
        </w:rPr>
        <w:t>) enters into a decision-making assistance agreement as a relevant person,</w:t>
      </w:r>
    </w:p>
    <w:p w14:paraId="202E02BA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(ii) enters into a co-decision-making agreement as a relevant person,</w:t>
      </w:r>
    </w:p>
    <w:p w14:paraId="202B4AA7" w14:textId="27DF2CBC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Style w:val="change"/>
          <w:rFonts w:ascii="Ubuntu" w:hAnsi="Ubuntu"/>
          <w:color w:val="444444"/>
          <w:sz w:val="21"/>
          <w:szCs w:val="21"/>
        </w:rPr>
        <w:t>(iii) has an enduring power of attorney that is the subject of a notification that has been accepted by the Director under </w:t>
      </w:r>
      <w:r>
        <w:rPr>
          <w:rStyle w:val="change"/>
          <w:rFonts w:ascii="Ubuntu" w:hAnsi="Ubuntu"/>
          <w:i/>
          <w:iCs/>
          <w:color w:val="444444"/>
          <w:sz w:val="21"/>
          <w:szCs w:val="21"/>
        </w:rPr>
        <w:t>section 71C</w:t>
      </w:r>
      <w:r>
        <w:rPr>
          <w:rStyle w:val="change"/>
          <w:rFonts w:ascii="Ubuntu" w:hAnsi="Ubuntu"/>
          <w:color w:val="444444"/>
          <w:sz w:val="21"/>
          <w:szCs w:val="21"/>
        </w:rPr>
        <w:t>, or an enduring power under the Act of 1996 that has been registered, in respect of himself or herself, or</w:t>
      </w:r>
    </w:p>
    <w:p w14:paraId="37DB9B2C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(iv) becomes the subject of a declaration under </w:t>
      </w:r>
      <w:hyperlink r:id="rId16" w:history="1">
        <w:r>
          <w:rPr>
            <w:rStyle w:val="Hyperlink"/>
            <w:rFonts w:ascii="Ubuntu" w:hAnsi="Ubuntu"/>
            <w:b/>
            <w:bCs/>
            <w:i/>
            <w:iCs/>
            <w:sz w:val="21"/>
            <w:szCs w:val="21"/>
          </w:rPr>
          <w:t>section 37</w:t>
        </w:r>
      </w:hyperlink>
      <w:r>
        <w:rPr>
          <w:rFonts w:ascii="Ubuntu" w:hAnsi="Ubuntu"/>
          <w:i/>
          <w:iCs/>
          <w:color w:val="444444"/>
          <w:sz w:val="21"/>
          <w:szCs w:val="21"/>
        </w:rPr>
        <w:t>(1)</w:t>
      </w:r>
      <w:r>
        <w:rPr>
          <w:rFonts w:ascii="Ubuntu" w:hAnsi="Ubuntu"/>
          <w:color w:val="444444"/>
          <w:sz w:val="21"/>
          <w:szCs w:val="21"/>
        </w:rPr>
        <w:t>,</w:t>
      </w:r>
    </w:p>
    <w:p w14:paraId="7EDCAACA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lastRenderedPageBreak/>
        <w:t>the decision-making representative shall be disqualified from being a decision-making representative for the relevant person with effect from the date on which the decision-making representative falls within any of </w:t>
      </w:r>
      <w:r>
        <w:rPr>
          <w:rFonts w:ascii="Ubuntu" w:hAnsi="Ubuntu"/>
          <w:i/>
          <w:iCs/>
          <w:color w:val="444444"/>
          <w:sz w:val="21"/>
          <w:szCs w:val="21"/>
        </w:rPr>
        <w:t>paragraphs (a)</w:t>
      </w:r>
      <w:r>
        <w:rPr>
          <w:rFonts w:ascii="Ubuntu" w:hAnsi="Ubuntu"/>
          <w:color w:val="444444"/>
          <w:sz w:val="21"/>
          <w:szCs w:val="21"/>
        </w:rPr>
        <w:t> to </w:t>
      </w:r>
      <w:r>
        <w:rPr>
          <w:rFonts w:ascii="Ubuntu" w:hAnsi="Ubuntu"/>
          <w:i/>
          <w:iCs/>
          <w:color w:val="444444"/>
          <w:sz w:val="21"/>
          <w:szCs w:val="21"/>
        </w:rPr>
        <w:t>(h)</w:t>
      </w:r>
      <w:r>
        <w:rPr>
          <w:rFonts w:ascii="Ubuntu" w:hAnsi="Ubuntu"/>
          <w:color w:val="444444"/>
          <w:sz w:val="21"/>
          <w:szCs w:val="21"/>
        </w:rPr>
        <w:t>.</w:t>
      </w:r>
    </w:p>
    <w:p w14:paraId="72911658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(5) </w:t>
      </w:r>
      <w:r>
        <w:rPr>
          <w:rFonts w:ascii="Ubuntu" w:hAnsi="Ubuntu"/>
          <w:i/>
          <w:iCs/>
          <w:color w:val="444444"/>
          <w:sz w:val="21"/>
          <w:szCs w:val="21"/>
        </w:rPr>
        <w:t>Subsections (4)(c)</w:t>
      </w:r>
      <w:r>
        <w:rPr>
          <w:rFonts w:ascii="Ubuntu" w:hAnsi="Ubuntu"/>
          <w:color w:val="444444"/>
          <w:sz w:val="21"/>
          <w:szCs w:val="21"/>
        </w:rPr>
        <w:t>, </w:t>
      </w:r>
      <w:r>
        <w:rPr>
          <w:rFonts w:ascii="Ubuntu" w:hAnsi="Ubuntu"/>
          <w:i/>
          <w:iCs/>
          <w:color w:val="444444"/>
          <w:sz w:val="21"/>
          <w:szCs w:val="21"/>
        </w:rPr>
        <w:t>(d)</w:t>
      </w:r>
      <w:r>
        <w:rPr>
          <w:rFonts w:ascii="Ubuntu" w:hAnsi="Ubuntu"/>
          <w:color w:val="444444"/>
          <w:sz w:val="21"/>
          <w:szCs w:val="21"/>
        </w:rPr>
        <w:t> and </w:t>
      </w:r>
      <w:r>
        <w:rPr>
          <w:rFonts w:ascii="Ubuntu" w:hAnsi="Ubuntu"/>
          <w:i/>
          <w:iCs/>
          <w:color w:val="444444"/>
          <w:sz w:val="21"/>
          <w:szCs w:val="21"/>
        </w:rPr>
        <w:t>(e)</w:t>
      </w:r>
      <w:r>
        <w:rPr>
          <w:rFonts w:ascii="Ubuntu" w:hAnsi="Ubuntu"/>
          <w:color w:val="444444"/>
          <w:sz w:val="21"/>
          <w:szCs w:val="21"/>
        </w:rPr>
        <w:t> shall not apply to a decision-making representative insofar as he or she exercises functions under the decision-making representation order in relation to the personal welfare of the relevant person.</w:t>
      </w:r>
    </w:p>
    <w:p w14:paraId="43131DB0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(6) Where a decision-making representative becomes disqualified under this section, he or she or, in the case of disqualification pursuant to </w:t>
      </w:r>
      <w:r>
        <w:rPr>
          <w:rFonts w:ascii="Ubuntu" w:hAnsi="Ubuntu"/>
          <w:i/>
          <w:iCs/>
          <w:color w:val="444444"/>
          <w:sz w:val="21"/>
          <w:szCs w:val="21"/>
        </w:rPr>
        <w:t>subsection (4)(h)(iii)</w:t>
      </w:r>
      <w:r>
        <w:rPr>
          <w:rFonts w:ascii="Ubuntu" w:hAnsi="Ubuntu"/>
          <w:color w:val="444444"/>
          <w:sz w:val="21"/>
          <w:szCs w:val="21"/>
        </w:rPr>
        <w:t> or </w:t>
      </w:r>
      <w:r>
        <w:rPr>
          <w:rFonts w:ascii="Ubuntu" w:hAnsi="Ubuntu"/>
          <w:i/>
          <w:iCs/>
          <w:color w:val="444444"/>
          <w:sz w:val="21"/>
          <w:szCs w:val="21"/>
        </w:rPr>
        <w:t>(iv)</w:t>
      </w:r>
      <w:r>
        <w:rPr>
          <w:rFonts w:ascii="Ubuntu" w:hAnsi="Ubuntu"/>
          <w:color w:val="444444"/>
          <w:sz w:val="21"/>
          <w:szCs w:val="21"/>
        </w:rPr>
        <w:t>, his or her attorney, decision-making representative or the court</w:t>
      </w:r>
      <w:proofErr w:type="gramStart"/>
      <w:r>
        <w:rPr>
          <w:rFonts w:ascii="Ubuntu" w:hAnsi="Ubuntu"/>
          <w:color w:val="444444"/>
          <w:sz w:val="21"/>
          <w:szCs w:val="21"/>
        </w:rPr>
        <w:t>, as the case may be, shall</w:t>
      </w:r>
      <w:proofErr w:type="gramEnd"/>
      <w:r>
        <w:rPr>
          <w:rFonts w:ascii="Ubuntu" w:hAnsi="Ubuntu"/>
          <w:color w:val="444444"/>
          <w:sz w:val="21"/>
          <w:szCs w:val="21"/>
        </w:rPr>
        <w:t xml:space="preserve"> notify the Director of such disqualification and the particulars relating thereto.</w:t>
      </w:r>
    </w:p>
    <w:p w14:paraId="4F66BC2F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(7) Where a decision-making representative becomes disqualified, a relevant decision made solely by him or her after his or her disqualification shall be null and void.</w:t>
      </w:r>
    </w:p>
    <w:p w14:paraId="334E2959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(8) </w:t>
      </w:r>
      <w:r>
        <w:rPr>
          <w:rFonts w:ascii="Ubuntu" w:hAnsi="Ubuntu"/>
          <w:i/>
          <w:iCs/>
          <w:color w:val="444444"/>
          <w:sz w:val="21"/>
          <w:szCs w:val="21"/>
        </w:rPr>
        <w:t>Subsection (7)</w:t>
      </w:r>
      <w:r>
        <w:rPr>
          <w:rFonts w:ascii="Ubuntu" w:hAnsi="Ubuntu"/>
          <w:color w:val="444444"/>
          <w:sz w:val="21"/>
          <w:szCs w:val="21"/>
        </w:rPr>
        <w:t xml:space="preserve"> shall not operate to prevent a person who relied on a relevant decision referred to in that subsection from recovering damages in respect of any loss incurred by him or her </w:t>
      </w:r>
      <w:proofErr w:type="gramStart"/>
      <w:r>
        <w:rPr>
          <w:rFonts w:ascii="Ubuntu" w:hAnsi="Ubuntu"/>
          <w:color w:val="444444"/>
          <w:sz w:val="21"/>
          <w:szCs w:val="21"/>
        </w:rPr>
        <w:t>as a result of</w:t>
      </w:r>
      <w:proofErr w:type="gramEnd"/>
      <w:r>
        <w:rPr>
          <w:rFonts w:ascii="Ubuntu" w:hAnsi="Ubuntu"/>
          <w:color w:val="444444"/>
          <w:sz w:val="21"/>
          <w:szCs w:val="21"/>
        </w:rPr>
        <w:t xml:space="preserve"> that reliance.</w:t>
      </w:r>
    </w:p>
    <w:p w14:paraId="5B1712D2" w14:textId="77777777" w:rsidR="007E5856" w:rsidRDefault="007E5856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</w:p>
    <w:p w14:paraId="0A70E7A5" w14:textId="24B0D31C" w:rsidR="007E5856" w:rsidRPr="00045032" w:rsidRDefault="00045032" w:rsidP="005F1BBD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Ubuntu" w:hAnsi="Ubuntu"/>
          <w:b/>
          <w:bCs/>
          <w:color w:val="444444"/>
          <w:sz w:val="21"/>
          <w:szCs w:val="21"/>
        </w:rPr>
      </w:pPr>
      <w:proofErr w:type="gramStart"/>
      <w:r w:rsidRPr="00045032">
        <w:rPr>
          <w:rFonts w:ascii="Ubuntu" w:hAnsi="Ubuntu"/>
          <w:b/>
          <w:bCs/>
          <w:color w:val="444444"/>
          <w:sz w:val="21"/>
          <w:szCs w:val="21"/>
        </w:rPr>
        <w:t>Note :</w:t>
      </w:r>
      <w:proofErr w:type="gramEnd"/>
      <w:r w:rsidRPr="00045032">
        <w:rPr>
          <w:rFonts w:ascii="Ubuntu" w:hAnsi="Ubuntu"/>
          <w:b/>
          <w:bCs/>
          <w:color w:val="444444"/>
          <w:sz w:val="21"/>
          <w:szCs w:val="21"/>
        </w:rPr>
        <w:t xml:space="preserve"> </w:t>
      </w:r>
    </w:p>
    <w:p w14:paraId="4B702A3F" w14:textId="51A5558D" w:rsidR="00045032" w:rsidRDefault="00045032" w:rsidP="005F1BBD">
      <w:pPr>
        <w:pStyle w:val="NormalWeb"/>
        <w:shd w:val="clear" w:color="auto" w:fill="FFFFFF"/>
        <w:spacing w:before="0" w:beforeAutospacing="0" w:after="0" w:afterAutospacing="0"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A person shall not be eligible for appointment as a decision-making representative if any of the following are applicable:</w:t>
      </w:r>
    </w:p>
    <w:p w14:paraId="4749E2C2" w14:textId="33AB7C81" w:rsidR="00045032" w:rsidRDefault="00045032" w:rsidP="005F1BBD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36" w:lineRule="atLeast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A person who uses fraud, coercion or undue influence to force another person to make, vary or revoke a decision-making agreement commits and offence and shall be liable –</w:t>
      </w:r>
    </w:p>
    <w:p w14:paraId="2B833760" w14:textId="77777777" w:rsidR="00045032" w:rsidRDefault="00045032" w:rsidP="005F1BBD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 xml:space="preserve">(a) on summary conviction, to a class A fine or imprisonment for a term not exceeding 12 months, or both, or </w:t>
      </w:r>
    </w:p>
    <w:p w14:paraId="54276AC7" w14:textId="64B43667" w:rsidR="00045032" w:rsidRDefault="00045032" w:rsidP="005F1BBD">
      <w:pPr>
        <w:pStyle w:val="NormalWeb"/>
        <w:shd w:val="clear" w:color="auto" w:fill="FFFFFF"/>
        <w:spacing w:before="0" w:beforeAutospacing="0" w:after="0" w:afterAutospacing="0" w:line="336" w:lineRule="atLeast"/>
        <w:ind w:left="720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>(b) on conviction on indictment, to a fine not exceeding €50,000 or imprisonment for a term not exceeding 5 years, or both.</w:t>
      </w:r>
    </w:p>
    <w:p w14:paraId="0F9814C1" w14:textId="7D8F0FF2" w:rsidR="00045032" w:rsidRDefault="00045032" w:rsidP="005F1BBD">
      <w:pPr>
        <w:pStyle w:val="NormalWeb"/>
        <w:shd w:val="clear" w:color="auto" w:fill="FFFFFF"/>
        <w:spacing w:before="0" w:beforeAutospacing="0" w:after="0" w:afterAutospacing="0" w:line="336" w:lineRule="atLeast"/>
        <w:ind w:left="709" w:hanging="567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 xml:space="preserve">    (2)   A person, who, in an application for registration of a decision-making agreement, or in connection with such an application, makes a statement which he or she knows to be false in a material </w:t>
      </w:r>
      <w:proofErr w:type="gramStart"/>
      <w:r>
        <w:rPr>
          <w:rFonts w:ascii="Ubuntu" w:hAnsi="Ubuntu"/>
          <w:color w:val="444444"/>
          <w:sz w:val="21"/>
          <w:szCs w:val="21"/>
        </w:rPr>
        <w:t>particular commits</w:t>
      </w:r>
      <w:proofErr w:type="gramEnd"/>
      <w:r>
        <w:rPr>
          <w:rFonts w:ascii="Ubuntu" w:hAnsi="Ubuntu"/>
          <w:color w:val="444444"/>
          <w:sz w:val="21"/>
          <w:szCs w:val="21"/>
        </w:rPr>
        <w:t xml:space="preserve"> an offence and shall be liable-</w:t>
      </w:r>
    </w:p>
    <w:p w14:paraId="503EF7C6" w14:textId="324FE31F" w:rsidR="008E0A74" w:rsidRDefault="008E0A74" w:rsidP="005F1BBD">
      <w:pPr>
        <w:pStyle w:val="NormalWeb"/>
        <w:shd w:val="clear" w:color="auto" w:fill="FFFFFF"/>
        <w:spacing w:before="0" w:beforeAutospacing="0" w:after="0" w:afterAutospacing="0" w:line="336" w:lineRule="atLeast"/>
        <w:ind w:left="709" w:hanging="567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ab/>
        <w:t>(a) on summary conviction, to a class A fine or imprisonment for a term not exceeding 6 months, or both, or</w:t>
      </w:r>
    </w:p>
    <w:p w14:paraId="5EECD3C4" w14:textId="1C6AA8A3" w:rsidR="008E0A74" w:rsidRDefault="008E0A74" w:rsidP="005F1BBD">
      <w:pPr>
        <w:pStyle w:val="NormalWeb"/>
        <w:shd w:val="clear" w:color="auto" w:fill="FFFFFF"/>
        <w:spacing w:before="0" w:beforeAutospacing="0" w:after="0" w:afterAutospacing="0" w:line="336" w:lineRule="atLeast"/>
        <w:ind w:left="709" w:hanging="567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 xml:space="preserve">       </w:t>
      </w:r>
      <w:r>
        <w:rPr>
          <w:rFonts w:ascii="Ubuntu" w:hAnsi="Ubuntu"/>
          <w:color w:val="444444"/>
          <w:sz w:val="21"/>
          <w:szCs w:val="21"/>
        </w:rPr>
        <w:tab/>
        <w:t>(b) on conviction on indictment, to a fine not exceeding €15,000 or imprisonment for a term not exceeding 2 years, or both.</w:t>
      </w:r>
    </w:p>
    <w:p w14:paraId="6DF6BCD0" w14:textId="630AD0D0" w:rsidR="007E5856" w:rsidRDefault="008E0A74" w:rsidP="00BA2E7A">
      <w:pPr>
        <w:pStyle w:val="NormalWeb"/>
        <w:shd w:val="clear" w:color="auto" w:fill="FFFFFF"/>
        <w:spacing w:before="0" w:beforeAutospacing="0" w:after="0" w:afterAutospacing="0" w:line="336" w:lineRule="atLeast"/>
        <w:ind w:left="709" w:hanging="567"/>
        <w:rPr>
          <w:rFonts w:ascii="Ubuntu" w:hAnsi="Ubuntu"/>
          <w:color w:val="444444"/>
          <w:sz w:val="21"/>
          <w:szCs w:val="21"/>
        </w:rPr>
      </w:pPr>
      <w:r>
        <w:rPr>
          <w:rFonts w:ascii="Ubuntu" w:hAnsi="Ubuntu"/>
          <w:color w:val="444444"/>
          <w:sz w:val="21"/>
          <w:szCs w:val="21"/>
        </w:rPr>
        <w:t xml:space="preserve">(3) The reference in paragraph (1) to coercion or undue influence includes any case where a person’s access to, or continued stay in, a designated centre or mental health facility, is contingent on (whether in whole or in part) on the person </w:t>
      </w:r>
      <w:r w:rsidR="005F1BBD">
        <w:rPr>
          <w:rFonts w:ascii="Ubuntu" w:hAnsi="Ubuntu"/>
          <w:color w:val="444444"/>
          <w:sz w:val="21"/>
          <w:szCs w:val="21"/>
        </w:rPr>
        <w:t>having to, or being led to believe that he or she has to, make, vary or revoke a decision-making agreement</w:t>
      </w:r>
      <w:r w:rsidR="00BA2E7A">
        <w:rPr>
          <w:rFonts w:ascii="Ubuntu" w:hAnsi="Ubuntu"/>
          <w:color w:val="444444"/>
          <w:sz w:val="21"/>
          <w:szCs w:val="21"/>
        </w:rPr>
        <w:t>.</w:t>
      </w:r>
    </w:p>
    <w:p w14:paraId="353C0828" w14:textId="77777777" w:rsidR="00613642" w:rsidRDefault="00613642" w:rsidP="00613642">
      <w:pPr>
        <w:pStyle w:val="NormalWeb"/>
        <w:shd w:val="clear" w:color="auto" w:fill="FFFFFF"/>
        <w:spacing w:line="336" w:lineRule="atLeast"/>
        <w:rPr>
          <w:rFonts w:ascii="Ubuntu" w:hAnsi="Ubuntu"/>
          <w:color w:val="444444"/>
          <w:sz w:val="21"/>
          <w:szCs w:val="21"/>
        </w:rPr>
      </w:pPr>
    </w:p>
    <w:p w14:paraId="3F9DD83F" w14:textId="77777777" w:rsidR="00613642" w:rsidRDefault="00613642" w:rsidP="00FF6AFD">
      <w:pPr>
        <w:jc w:val="center"/>
        <w:rPr>
          <w:rFonts w:ascii="Arial" w:hAnsi="Arial" w:cs="Arial"/>
          <w:b/>
          <w:bCs/>
          <w:u w:val="single"/>
          <w:lang w:val="en-GB"/>
        </w:rPr>
      </w:pPr>
    </w:p>
    <w:p w14:paraId="12FC0599" w14:textId="53024788" w:rsidR="00FF6AFD" w:rsidRDefault="00FF6AFD" w:rsidP="00FF6AFD">
      <w:pPr>
        <w:rPr>
          <w:rFonts w:ascii="Arial" w:hAnsi="Arial" w:cs="Arial"/>
          <w:lang w:val="en-GB"/>
        </w:rPr>
      </w:pPr>
    </w:p>
    <w:sectPr w:rsidR="00FF6AFD" w:rsidSect="00FF6AFD">
      <w:pgSz w:w="11906" w:h="16838"/>
      <w:pgMar w:top="993" w:right="127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35864" w14:textId="77777777" w:rsidR="006C76A4" w:rsidRDefault="006C76A4" w:rsidP="00CB3AE8">
      <w:pPr>
        <w:spacing w:after="0" w:line="240" w:lineRule="auto"/>
      </w:pPr>
      <w:r>
        <w:separator/>
      </w:r>
    </w:p>
  </w:endnote>
  <w:endnote w:type="continuationSeparator" w:id="0">
    <w:p w14:paraId="0816E23D" w14:textId="77777777" w:rsidR="006C76A4" w:rsidRDefault="006C76A4" w:rsidP="00CB3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644BC" w14:textId="77777777" w:rsidR="006C76A4" w:rsidRDefault="006C76A4" w:rsidP="00CB3AE8">
      <w:pPr>
        <w:spacing w:after="0" w:line="240" w:lineRule="auto"/>
      </w:pPr>
      <w:r>
        <w:separator/>
      </w:r>
    </w:p>
  </w:footnote>
  <w:footnote w:type="continuationSeparator" w:id="0">
    <w:p w14:paraId="78696117" w14:textId="77777777" w:rsidR="006C76A4" w:rsidRDefault="006C76A4" w:rsidP="00CB3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D1532"/>
    <w:multiLevelType w:val="hybridMultilevel"/>
    <w:tmpl w:val="CAA839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C61F6"/>
    <w:multiLevelType w:val="hybridMultilevel"/>
    <w:tmpl w:val="D04691A4"/>
    <w:lvl w:ilvl="0" w:tplc="3DA42C7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406F1"/>
    <w:multiLevelType w:val="hybridMultilevel"/>
    <w:tmpl w:val="B6324BAE"/>
    <w:lvl w:ilvl="0" w:tplc="838056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D015A"/>
    <w:multiLevelType w:val="hybridMultilevel"/>
    <w:tmpl w:val="BA166CE0"/>
    <w:lvl w:ilvl="0" w:tplc="7A72CE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9B16E2"/>
    <w:multiLevelType w:val="hybridMultilevel"/>
    <w:tmpl w:val="8BE081CC"/>
    <w:lvl w:ilvl="0" w:tplc="738E68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B352C"/>
    <w:multiLevelType w:val="hybridMultilevel"/>
    <w:tmpl w:val="74F43A42"/>
    <w:lvl w:ilvl="0" w:tplc="D0F4B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8627">
    <w:abstractNumId w:val="1"/>
  </w:num>
  <w:num w:numId="2" w16cid:durableId="2001763107">
    <w:abstractNumId w:val="3"/>
  </w:num>
  <w:num w:numId="3" w16cid:durableId="1951039128">
    <w:abstractNumId w:val="5"/>
  </w:num>
  <w:num w:numId="4" w16cid:durableId="1763987710">
    <w:abstractNumId w:val="0"/>
  </w:num>
  <w:num w:numId="5" w16cid:durableId="1384867591">
    <w:abstractNumId w:val="4"/>
  </w:num>
  <w:num w:numId="6" w16cid:durableId="125586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13"/>
    <w:rsid w:val="000006F1"/>
    <w:rsid w:val="00003D64"/>
    <w:rsid w:val="00010F08"/>
    <w:rsid w:val="000302AF"/>
    <w:rsid w:val="00035A3A"/>
    <w:rsid w:val="00045032"/>
    <w:rsid w:val="000847BA"/>
    <w:rsid w:val="0012229C"/>
    <w:rsid w:val="001C1313"/>
    <w:rsid w:val="001D7F50"/>
    <w:rsid w:val="00216B0E"/>
    <w:rsid w:val="00226E8B"/>
    <w:rsid w:val="00246D6C"/>
    <w:rsid w:val="002506E9"/>
    <w:rsid w:val="002509AA"/>
    <w:rsid w:val="002E7022"/>
    <w:rsid w:val="002F0D9B"/>
    <w:rsid w:val="00307465"/>
    <w:rsid w:val="00344384"/>
    <w:rsid w:val="00356F88"/>
    <w:rsid w:val="003575B3"/>
    <w:rsid w:val="00362DAC"/>
    <w:rsid w:val="0037392C"/>
    <w:rsid w:val="00391B1E"/>
    <w:rsid w:val="003B0228"/>
    <w:rsid w:val="003B6688"/>
    <w:rsid w:val="003E519B"/>
    <w:rsid w:val="00425C58"/>
    <w:rsid w:val="00454C93"/>
    <w:rsid w:val="00455DE2"/>
    <w:rsid w:val="0048017D"/>
    <w:rsid w:val="00492DF5"/>
    <w:rsid w:val="0049579A"/>
    <w:rsid w:val="004A74D0"/>
    <w:rsid w:val="004D5744"/>
    <w:rsid w:val="004E588C"/>
    <w:rsid w:val="004F5098"/>
    <w:rsid w:val="005055C0"/>
    <w:rsid w:val="005472AB"/>
    <w:rsid w:val="005A3B20"/>
    <w:rsid w:val="005A4DE5"/>
    <w:rsid w:val="005D08A4"/>
    <w:rsid w:val="005F1BBD"/>
    <w:rsid w:val="00602C51"/>
    <w:rsid w:val="006056E3"/>
    <w:rsid w:val="00613642"/>
    <w:rsid w:val="00617518"/>
    <w:rsid w:val="0062229C"/>
    <w:rsid w:val="0064093E"/>
    <w:rsid w:val="00683B09"/>
    <w:rsid w:val="006B7601"/>
    <w:rsid w:val="006C76A4"/>
    <w:rsid w:val="006F73CB"/>
    <w:rsid w:val="00736153"/>
    <w:rsid w:val="00751F20"/>
    <w:rsid w:val="00754F20"/>
    <w:rsid w:val="00765742"/>
    <w:rsid w:val="00773617"/>
    <w:rsid w:val="007D0C7D"/>
    <w:rsid w:val="007D1EA6"/>
    <w:rsid w:val="007D25A1"/>
    <w:rsid w:val="007D5BBB"/>
    <w:rsid w:val="007E508C"/>
    <w:rsid w:val="007E5856"/>
    <w:rsid w:val="007F4AB3"/>
    <w:rsid w:val="008005D6"/>
    <w:rsid w:val="00807C2F"/>
    <w:rsid w:val="00817899"/>
    <w:rsid w:val="0085010F"/>
    <w:rsid w:val="00856405"/>
    <w:rsid w:val="008627C9"/>
    <w:rsid w:val="008630AF"/>
    <w:rsid w:val="00864B3F"/>
    <w:rsid w:val="008C68EF"/>
    <w:rsid w:val="008E0A74"/>
    <w:rsid w:val="00914DED"/>
    <w:rsid w:val="00931113"/>
    <w:rsid w:val="00933056"/>
    <w:rsid w:val="00982B4A"/>
    <w:rsid w:val="009A539D"/>
    <w:rsid w:val="009C5305"/>
    <w:rsid w:val="009C771A"/>
    <w:rsid w:val="009D074E"/>
    <w:rsid w:val="009F7016"/>
    <w:rsid w:val="00A02949"/>
    <w:rsid w:val="00A55176"/>
    <w:rsid w:val="00A601D1"/>
    <w:rsid w:val="00A63D3B"/>
    <w:rsid w:val="00AA02AD"/>
    <w:rsid w:val="00AC34EC"/>
    <w:rsid w:val="00AE251E"/>
    <w:rsid w:val="00B15945"/>
    <w:rsid w:val="00B40EA0"/>
    <w:rsid w:val="00B63489"/>
    <w:rsid w:val="00B77044"/>
    <w:rsid w:val="00B92A40"/>
    <w:rsid w:val="00BA2E7A"/>
    <w:rsid w:val="00BB6898"/>
    <w:rsid w:val="00C04B26"/>
    <w:rsid w:val="00C1083B"/>
    <w:rsid w:val="00C13432"/>
    <w:rsid w:val="00C1624C"/>
    <w:rsid w:val="00C16651"/>
    <w:rsid w:val="00C41E63"/>
    <w:rsid w:val="00CA673E"/>
    <w:rsid w:val="00CB3AE8"/>
    <w:rsid w:val="00CD31E4"/>
    <w:rsid w:val="00CF67FD"/>
    <w:rsid w:val="00D408CC"/>
    <w:rsid w:val="00D4288A"/>
    <w:rsid w:val="00D5366A"/>
    <w:rsid w:val="00D750AF"/>
    <w:rsid w:val="00D843A2"/>
    <w:rsid w:val="00DA6FE6"/>
    <w:rsid w:val="00DB2DF5"/>
    <w:rsid w:val="00DC4AF8"/>
    <w:rsid w:val="00E710BA"/>
    <w:rsid w:val="00E725B2"/>
    <w:rsid w:val="00E82E45"/>
    <w:rsid w:val="00EB1E7F"/>
    <w:rsid w:val="00F8295C"/>
    <w:rsid w:val="00FA4160"/>
    <w:rsid w:val="00FC5948"/>
    <w:rsid w:val="00FD5E3D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1BF37"/>
  <w15:chartTrackingRefBased/>
  <w15:docId w15:val="{4E5BF8E6-9D7C-445B-8A8D-6FB29610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5D6"/>
    <w:pPr>
      <w:ind w:left="720"/>
      <w:contextualSpacing/>
    </w:pPr>
  </w:style>
  <w:style w:type="table" w:styleId="TableGrid">
    <w:name w:val="Table Grid"/>
    <w:basedOn w:val="TableNormal"/>
    <w:uiPriority w:val="39"/>
    <w:rsid w:val="00800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13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customStyle="1" w:styleId="commentary-reference">
    <w:name w:val="commentary-reference"/>
    <w:basedOn w:val="DefaultParagraphFont"/>
    <w:rsid w:val="00613642"/>
  </w:style>
  <w:style w:type="character" w:customStyle="1" w:styleId="markup">
    <w:name w:val="markup"/>
    <w:basedOn w:val="DefaultParagraphFont"/>
    <w:rsid w:val="00613642"/>
  </w:style>
  <w:style w:type="character" w:customStyle="1" w:styleId="change">
    <w:name w:val="change"/>
    <w:basedOn w:val="DefaultParagraphFont"/>
    <w:rsid w:val="00613642"/>
  </w:style>
  <w:style w:type="character" w:styleId="Hyperlink">
    <w:name w:val="Hyperlink"/>
    <w:basedOn w:val="DefaultParagraphFont"/>
    <w:uiPriority w:val="99"/>
    <w:semiHidden/>
    <w:unhideWhenUsed/>
    <w:rsid w:val="006136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692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6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edacts.lawreform.ie/eli/2015/act/64/section/90/revised/en/html" TargetMode="External"/><Relationship Id="rId13" Type="http://schemas.openxmlformats.org/officeDocument/2006/relationships/hyperlink" Target="https://revisedacts.lawreform.ie/eli/2015/act/64/section/80/revised/en/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sedacts.lawreform.ie/eli/2015/act/64/section/80/revised/en/html" TargetMode="External"/><Relationship Id="rId12" Type="http://schemas.openxmlformats.org/officeDocument/2006/relationships/hyperlink" Target="https://revisedacts.lawreform.ie/eli/2015/act/64/section/2/revised/en/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visedacts.lawreform.ie/eli/2015/act/64/section/37/revised/en/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sedacts.lawreform.ie/eli/2015/act/64/section/2/revised/en/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sedacts.lawreform.ie/eli/2015/act/64/section/145/revised/en/html" TargetMode="External"/><Relationship Id="rId10" Type="http://schemas.openxmlformats.org/officeDocument/2006/relationships/hyperlink" Target="https://revisedacts.lawreform.ie/eli/2015/act/64/section/2/revised/en/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visedacts.lawreform.ie/eli/2015/act/64/section/145/revised/en/html" TargetMode="External"/><Relationship Id="rId14" Type="http://schemas.openxmlformats.org/officeDocument/2006/relationships/hyperlink" Target="https://revisedacts.lawreform.ie/eli/2015/act/64/section/90/revised/en/html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McGann</dc:creator>
  <cp:keywords/>
  <dc:description/>
  <cp:lastModifiedBy>Che Curran</cp:lastModifiedBy>
  <cp:revision>6</cp:revision>
  <cp:lastPrinted>2025-07-31T11:26:00Z</cp:lastPrinted>
  <dcterms:created xsi:type="dcterms:W3CDTF">2025-11-14T09:59:00Z</dcterms:created>
  <dcterms:modified xsi:type="dcterms:W3CDTF">2025-11-14T10:47:00Z</dcterms:modified>
</cp:coreProperties>
</file>