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3D1A" w14:textId="080AF555" w:rsidR="00A73FBA" w:rsidRPr="00865680" w:rsidRDefault="00A73FBA" w:rsidP="00865680">
      <w:pPr>
        <w:spacing w:after="0" w:line="240" w:lineRule="auto"/>
        <w:rPr>
          <w:rFonts w:ascii="Verdana" w:hAnsi="Verdana" w:cs="Arial"/>
          <w:b/>
          <w:bCs/>
          <w:sz w:val="28"/>
          <w:szCs w:val="28"/>
        </w:rPr>
      </w:pPr>
      <w:r w:rsidRPr="00865680">
        <w:rPr>
          <w:rFonts w:ascii="Verdana" w:hAnsi="Verdana" w:cs="Arial"/>
          <w:b/>
          <w:bCs/>
          <w:sz w:val="28"/>
          <w:szCs w:val="28"/>
        </w:rPr>
        <w:t>List of</w:t>
      </w:r>
      <w:r w:rsidR="0017265C" w:rsidRPr="00865680">
        <w:rPr>
          <w:rFonts w:ascii="Verdana" w:hAnsi="Verdana" w:cs="Arial"/>
          <w:b/>
          <w:bCs/>
          <w:sz w:val="28"/>
          <w:szCs w:val="28"/>
        </w:rPr>
        <w:t xml:space="preserve"> some recurring</w:t>
      </w:r>
      <w:r w:rsidRPr="00865680">
        <w:rPr>
          <w:rFonts w:ascii="Verdana" w:hAnsi="Verdana" w:cs="Arial"/>
          <w:b/>
          <w:bCs/>
          <w:sz w:val="28"/>
          <w:szCs w:val="28"/>
        </w:rPr>
        <w:t xml:space="preserve"> cases relevant to P&amp;E </w:t>
      </w:r>
      <w:r w:rsidR="0017265C" w:rsidRPr="00865680">
        <w:rPr>
          <w:rFonts w:ascii="Verdana" w:hAnsi="Verdana" w:cs="Arial"/>
          <w:b/>
          <w:bCs/>
          <w:sz w:val="28"/>
          <w:szCs w:val="28"/>
        </w:rPr>
        <w:t>Court</w:t>
      </w:r>
      <w:r w:rsidRPr="00865680">
        <w:rPr>
          <w:rFonts w:ascii="Verdana" w:hAnsi="Verdana" w:cs="Arial"/>
          <w:b/>
          <w:bCs/>
          <w:sz w:val="28"/>
          <w:szCs w:val="28"/>
        </w:rPr>
        <w:t xml:space="preserve"> –</w:t>
      </w:r>
      <w:r w:rsidR="0017265C" w:rsidRPr="00865680">
        <w:rPr>
          <w:rFonts w:ascii="Verdana" w:hAnsi="Verdana" w:cs="Arial"/>
          <w:b/>
          <w:bCs/>
          <w:sz w:val="28"/>
          <w:szCs w:val="28"/>
        </w:rPr>
        <w:t xml:space="preserve"> Version of </w:t>
      </w:r>
      <w:r w:rsidR="00F601BD">
        <w:rPr>
          <w:rFonts w:ascii="Verdana" w:hAnsi="Verdana" w:cs="Arial"/>
          <w:b/>
          <w:bCs/>
          <w:sz w:val="28"/>
          <w:szCs w:val="28"/>
        </w:rPr>
        <w:t>1 December</w:t>
      </w:r>
      <w:r w:rsidRPr="00865680">
        <w:rPr>
          <w:rFonts w:ascii="Verdana" w:hAnsi="Verdana" w:cs="Arial"/>
          <w:b/>
          <w:bCs/>
          <w:sz w:val="28"/>
          <w:szCs w:val="28"/>
        </w:rPr>
        <w:t xml:space="preserve"> 2024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IE"/>
          <w14:ligatures w14:val="standardContextual"/>
        </w:rPr>
        <w:id w:val="44589528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B7EDAD" w14:textId="0804FBEB" w:rsidR="00797815" w:rsidRDefault="00797815" w:rsidP="00865680">
          <w:pPr>
            <w:pStyle w:val="TOCHeading"/>
            <w:spacing w:before="0" w:line="240" w:lineRule="auto"/>
          </w:pPr>
          <w:r>
            <w:t>Contents</w:t>
          </w:r>
        </w:p>
        <w:p w14:paraId="2E6D25F3" w14:textId="3B1CF28B" w:rsidR="00865680" w:rsidRDefault="0079781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0"/>
              <w:lang w:eastAsia="en-IE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3293704" w:history="1">
            <w:r w:rsidR="00865680" w:rsidRPr="003B6AE0">
              <w:rPr>
                <w:rStyle w:val="Hyperlink"/>
                <w:noProof/>
              </w:rPr>
              <w:t>Introduction</w:t>
            </w:r>
            <w:r w:rsidR="00865680">
              <w:rPr>
                <w:noProof/>
                <w:webHidden/>
              </w:rPr>
              <w:tab/>
            </w:r>
            <w:r w:rsidR="00865680">
              <w:rPr>
                <w:noProof/>
                <w:webHidden/>
              </w:rPr>
              <w:fldChar w:fldCharType="begin"/>
            </w:r>
            <w:r w:rsidR="00865680">
              <w:rPr>
                <w:noProof/>
                <w:webHidden/>
              </w:rPr>
              <w:instrText xml:space="preserve"> PAGEREF _Toc183293704 \h </w:instrText>
            </w:r>
            <w:r w:rsidR="00865680">
              <w:rPr>
                <w:noProof/>
                <w:webHidden/>
              </w:rPr>
            </w:r>
            <w:r w:rsidR="00865680">
              <w:rPr>
                <w:noProof/>
                <w:webHidden/>
              </w:rPr>
              <w:fldChar w:fldCharType="separate"/>
            </w:r>
            <w:r w:rsidR="00865680">
              <w:rPr>
                <w:noProof/>
                <w:webHidden/>
              </w:rPr>
              <w:t>1</w:t>
            </w:r>
            <w:r w:rsidR="00865680">
              <w:rPr>
                <w:noProof/>
                <w:webHidden/>
              </w:rPr>
              <w:fldChar w:fldCharType="end"/>
            </w:r>
          </w:hyperlink>
        </w:p>
        <w:p w14:paraId="2C55A8FB" w14:textId="4CB06B5D" w:rsidR="00865680" w:rsidRDefault="00F601B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0"/>
              <w:lang w:eastAsia="en-IE"/>
              <w14:ligatures w14:val="none"/>
            </w:rPr>
          </w:pPr>
          <w:hyperlink w:anchor="_Toc183293705" w:history="1">
            <w:r w:rsidR="00865680" w:rsidRPr="003B6AE0">
              <w:rPr>
                <w:rStyle w:val="Hyperlink"/>
                <w:noProof/>
              </w:rPr>
              <w:t>Pleadings</w:t>
            </w:r>
            <w:r w:rsidR="00865680">
              <w:rPr>
                <w:noProof/>
                <w:webHidden/>
              </w:rPr>
              <w:tab/>
            </w:r>
            <w:r w:rsidR="00865680">
              <w:rPr>
                <w:noProof/>
                <w:webHidden/>
              </w:rPr>
              <w:fldChar w:fldCharType="begin"/>
            </w:r>
            <w:r w:rsidR="00865680">
              <w:rPr>
                <w:noProof/>
                <w:webHidden/>
              </w:rPr>
              <w:instrText xml:space="preserve"> PAGEREF _Toc183293705 \h </w:instrText>
            </w:r>
            <w:r w:rsidR="00865680">
              <w:rPr>
                <w:noProof/>
                <w:webHidden/>
              </w:rPr>
            </w:r>
            <w:r w:rsidR="00865680">
              <w:rPr>
                <w:noProof/>
                <w:webHidden/>
              </w:rPr>
              <w:fldChar w:fldCharType="separate"/>
            </w:r>
            <w:r w:rsidR="00865680">
              <w:rPr>
                <w:noProof/>
                <w:webHidden/>
              </w:rPr>
              <w:t>1</w:t>
            </w:r>
            <w:r w:rsidR="00865680">
              <w:rPr>
                <w:noProof/>
                <w:webHidden/>
              </w:rPr>
              <w:fldChar w:fldCharType="end"/>
            </w:r>
          </w:hyperlink>
        </w:p>
        <w:p w14:paraId="6D406685" w14:textId="367E27B7" w:rsidR="00865680" w:rsidRDefault="00F601B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0"/>
              <w:lang w:eastAsia="en-IE"/>
              <w14:ligatures w14:val="none"/>
            </w:rPr>
          </w:pPr>
          <w:hyperlink w:anchor="_Toc183293706" w:history="1">
            <w:r w:rsidR="00865680" w:rsidRPr="003B6AE0">
              <w:rPr>
                <w:rStyle w:val="Hyperlink"/>
                <w:noProof/>
              </w:rPr>
              <w:t>Non-publication</w:t>
            </w:r>
            <w:r w:rsidR="00865680">
              <w:rPr>
                <w:noProof/>
                <w:webHidden/>
              </w:rPr>
              <w:tab/>
            </w:r>
            <w:r w:rsidR="00865680">
              <w:rPr>
                <w:noProof/>
                <w:webHidden/>
              </w:rPr>
              <w:fldChar w:fldCharType="begin"/>
            </w:r>
            <w:r w:rsidR="00865680">
              <w:rPr>
                <w:noProof/>
                <w:webHidden/>
              </w:rPr>
              <w:instrText xml:space="preserve"> PAGEREF _Toc183293706 \h </w:instrText>
            </w:r>
            <w:r w:rsidR="00865680">
              <w:rPr>
                <w:noProof/>
                <w:webHidden/>
              </w:rPr>
            </w:r>
            <w:r w:rsidR="00865680">
              <w:rPr>
                <w:noProof/>
                <w:webHidden/>
              </w:rPr>
              <w:fldChar w:fldCharType="separate"/>
            </w:r>
            <w:r w:rsidR="00865680">
              <w:rPr>
                <w:noProof/>
                <w:webHidden/>
              </w:rPr>
              <w:t>2</w:t>
            </w:r>
            <w:r w:rsidR="00865680">
              <w:rPr>
                <w:noProof/>
                <w:webHidden/>
              </w:rPr>
              <w:fldChar w:fldCharType="end"/>
            </w:r>
          </w:hyperlink>
        </w:p>
        <w:p w14:paraId="5AA9E524" w14:textId="7544477F" w:rsidR="00865680" w:rsidRDefault="00F601B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0"/>
              <w:lang w:eastAsia="en-IE"/>
              <w14:ligatures w14:val="none"/>
            </w:rPr>
          </w:pPr>
          <w:hyperlink w:anchor="_Toc183293707" w:history="1">
            <w:r w:rsidR="00865680" w:rsidRPr="003B6AE0">
              <w:rPr>
                <w:rStyle w:val="Hyperlink"/>
                <w:noProof/>
              </w:rPr>
              <w:t>Jurisdictional-type requirements</w:t>
            </w:r>
            <w:r w:rsidR="00865680">
              <w:rPr>
                <w:noProof/>
                <w:webHidden/>
              </w:rPr>
              <w:tab/>
            </w:r>
            <w:r w:rsidR="00865680">
              <w:rPr>
                <w:noProof/>
                <w:webHidden/>
              </w:rPr>
              <w:fldChar w:fldCharType="begin"/>
            </w:r>
            <w:r w:rsidR="00865680">
              <w:rPr>
                <w:noProof/>
                <w:webHidden/>
              </w:rPr>
              <w:instrText xml:space="preserve"> PAGEREF _Toc183293707 \h </w:instrText>
            </w:r>
            <w:r w:rsidR="00865680">
              <w:rPr>
                <w:noProof/>
                <w:webHidden/>
              </w:rPr>
            </w:r>
            <w:r w:rsidR="00865680">
              <w:rPr>
                <w:noProof/>
                <w:webHidden/>
              </w:rPr>
              <w:fldChar w:fldCharType="separate"/>
            </w:r>
            <w:r w:rsidR="00865680">
              <w:rPr>
                <w:noProof/>
                <w:webHidden/>
              </w:rPr>
              <w:t>3</w:t>
            </w:r>
            <w:r w:rsidR="00865680">
              <w:rPr>
                <w:noProof/>
                <w:webHidden/>
              </w:rPr>
              <w:fldChar w:fldCharType="end"/>
            </w:r>
          </w:hyperlink>
        </w:p>
        <w:p w14:paraId="42C8746A" w14:textId="29A0519D" w:rsidR="00865680" w:rsidRDefault="00F601B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0"/>
              <w:lang w:eastAsia="en-IE"/>
              <w14:ligatures w14:val="none"/>
            </w:rPr>
          </w:pPr>
          <w:hyperlink w:anchor="_Toc183293708" w:history="1">
            <w:r w:rsidR="00865680" w:rsidRPr="003B6AE0">
              <w:rPr>
                <w:rStyle w:val="Hyperlink"/>
                <w:noProof/>
              </w:rPr>
              <w:t>Adequacy of assessments under EIA/habitats/birds directives</w:t>
            </w:r>
            <w:r w:rsidR="00865680">
              <w:rPr>
                <w:noProof/>
                <w:webHidden/>
              </w:rPr>
              <w:tab/>
            </w:r>
            <w:r w:rsidR="00865680">
              <w:rPr>
                <w:noProof/>
                <w:webHidden/>
              </w:rPr>
              <w:fldChar w:fldCharType="begin"/>
            </w:r>
            <w:r w:rsidR="00865680">
              <w:rPr>
                <w:noProof/>
                <w:webHidden/>
              </w:rPr>
              <w:instrText xml:space="preserve"> PAGEREF _Toc183293708 \h </w:instrText>
            </w:r>
            <w:r w:rsidR="00865680">
              <w:rPr>
                <w:noProof/>
                <w:webHidden/>
              </w:rPr>
            </w:r>
            <w:r w:rsidR="00865680">
              <w:rPr>
                <w:noProof/>
                <w:webHidden/>
              </w:rPr>
              <w:fldChar w:fldCharType="separate"/>
            </w:r>
            <w:r w:rsidR="00865680">
              <w:rPr>
                <w:noProof/>
                <w:webHidden/>
              </w:rPr>
              <w:t>3</w:t>
            </w:r>
            <w:r w:rsidR="00865680">
              <w:rPr>
                <w:noProof/>
                <w:webHidden/>
              </w:rPr>
              <w:fldChar w:fldCharType="end"/>
            </w:r>
          </w:hyperlink>
        </w:p>
        <w:p w14:paraId="1F26D449" w14:textId="566EC643" w:rsidR="00865680" w:rsidRDefault="00F601B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0"/>
              <w:lang w:eastAsia="en-IE"/>
              <w14:ligatures w14:val="none"/>
            </w:rPr>
          </w:pPr>
          <w:hyperlink w:anchor="_Toc183293709" w:history="1">
            <w:r w:rsidR="00865680" w:rsidRPr="003B6AE0">
              <w:rPr>
                <w:rStyle w:val="Hyperlink"/>
                <w:noProof/>
              </w:rPr>
              <w:t>Other specific grounds of challenge</w:t>
            </w:r>
            <w:r w:rsidR="00865680">
              <w:rPr>
                <w:noProof/>
                <w:webHidden/>
              </w:rPr>
              <w:tab/>
            </w:r>
            <w:r w:rsidR="00865680">
              <w:rPr>
                <w:noProof/>
                <w:webHidden/>
              </w:rPr>
              <w:fldChar w:fldCharType="begin"/>
            </w:r>
            <w:r w:rsidR="00865680">
              <w:rPr>
                <w:noProof/>
                <w:webHidden/>
              </w:rPr>
              <w:instrText xml:space="preserve"> PAGEREF _Toc183293709 \h </w:instrText>
            </w:r>
            <w:r w:rsidR="00865680">
              <w:rPr>
                <w:noProof/>
                <w:webHidden/>
              </w:rPr>
            </w:r>
            <w:r w:rsidR="00865680">
              <w:rPr>
                <w:noProof/>
                <w:webHidden/>
              </w:rPr>
              <w:fldChar w:fldCharType="separate"/>
            </w:r>
            <w:r w:rsidR="00865680">
              <w:rPr>
                <w:noProof/>
                <w:webHidden/>
              </w:rPr>
              <w:t>5</w:t>
            </w:r>
            <w:r w:rsidR="00865680">
              <w:rPr>
                <w:noProof/>
                <w:webHidden/>
              </w:rPr>
              <w:fldChar w:fldCharType="end"/>
            </w:r>
          </w:hyperlink>
        </w:p>
        <w:p w14:paraId="2FAABCD4" w14:textId="3A1E80F5" w:rsidR="00865680" w:rsidRDefault="00F601B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0"/>
              <w:lang w:eastAsia="en-IE"/>
              <w14:ligatures w14:val="none"/>
            </w:rPr>
          </w:pPr>
          <w:hyperlink w:anchor="_Toc183293710" w:history="1">
            <w:r w:rsidR="00865680" w:rsidRPr="003B6AE0">
              <w:rPr>
                <w:rStyle w:val="Hyperlink"/>
                <w:noProof/>
              </w:rPr>
              <w:t>Climate issues</w:t>
            </w:r>
            <w:r w:rsidR="00865680">
              <w:rPr>
                <w:noProof/>
                <w:webHidden/>
              </w:rPr>
              <w:tab/>
            </w:r>
            <w:r w:rsidR="00865680">
              <w:rPr>
                <w:noProof/>
                <w:webHidden/>
              </w:rPr>
              <w:fldChar w:fldCharType="begin"/>
            </w:r>
            <w:r w:rsidR="00865680">
              <w:rPr>
                <w:noProof/>
                <w:webHidden/>
              </w:rPr>
              <w:instrText xml:space="preserve"> PAGEREF _Toc183293710 \h </w:instrText>
            </w:r>
            <w:r w:rsidR="00865680">
              <w:rPr>
                <w:noProof/>
                <w:webHidden/>
              </w:rPr>
            </w:r>
            <w:r w:rsidR="00865680">
              <w:rPr>
                <w:noProof/>
                <w:webHidden/>
              </w:rPr>
              <w:fldChar w:fldCharType="separate"/>
            </w:r>
            <w:r w:rsidR="00865680">
              <w:rPr>
                <w:noProof/>
                <w:webHidden/>
              </w:rPr>
              <w:t>6</w:t>
            </w:r>
            <w:r w:rsidR="00865680">
              <w:rPr>
                <w:noProof/>
                <w:webHidden/>
              </w:rPr>
              <w:fldChar w:fldCharType="end"/>
            </w:r>
          </w:hyperlink>
        </w:p>
        <w:p w14:paraId="441ACF5B" w14:textId="7D5A47A3" w:rsidR="00865680" w:rsidRDefault="00F601B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0"/>
              <w:lang w:eastAsia="en-IE"/>
              <w14:ligatures w14:val="none"/>
            </w:rPr>
          </w:pPr>
          <w:hyperlink w:anchor="_Toc183293711" w:history="1">
            <w:r w:rsidR="00865680" w:rsidRPr="003B6AE0">
              <w:rPr>
                <w:rStyle w:val="Hyperlink"/>
                <w:noProof/>
              </w:rPr>
              <w:t>Judicial review generally</w:t>
            </w:r>
            <w:r w:rsidR="00865680">
              <w:rPr>
                <w:noProof/>
                <w:webHidden/>
              </w:rPr>
              <w:tab/>
            </w:r>
            <w:r w:rsidR="00865680">
              <w:rPr>
                <w:noProof/>
                <w:webHidden/>
              </w:rPr>
              <w:fldChar w:fldCharType="begin"/>
            </w:r>
            <w:r w:rsidR="00865680">
              <w:rPr>
                <w:noProof/>
                <w:webHidden/>
              </w:rPr>
              <w:instrText xml:space="preserve"> PAGEREF _Toc183293711 \h </w:instrText>
            </w:r>
            <w:r w:rsidR="00865680">
              <w:rPr>
                <w:noProof/>
                <w:webHidden/>
              </w:rPr>
            </w:r>
            <w:r w:rsidR="00865680">
              <w:rPr>
                <w:noProof/>
                <w:webHidden/>
              </w:rPr>
              <w:fldChar w:fldCharType="separate"/>
            </w:r>
            <w:r w:rsidR="00865680">
              <w:rPr>
                <w:noProof/>
                <w:webHidden/>
              </w:rPr>
              <w:t>7</w:t>
            </w:r>
            <w:r w:rsidR="00865680">
              <w:rPr>
                <w:noProof/>
                <w:webHidden/>
              </w:rPr>
              <w:fldChar w:fldCharType="end"/>
            </w:r>
          </w:hyperlink>
        </w:p>
        <w:p w14:paraId="5391B4B1" w14:textId="12722423" w:rsidR="00865680" w:rsidRDefault="00F601B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0"/>
              <w:lang w:eastAsia="en-IE"/>
              <w14:ligatures w14:val="none"/>
            </w:rPr>
          </w:pPr>
          <w:hyperlink w:anchor="_Toc183293712" w:history="1">
            <w:r w:rsidR="00865680" w:rsidRPr="003B6AE0">
              <w:rPr>
                <w:rStyle w:val="Hyperlink"/>
                <w:noProof/>
              </w:rPr>
              <w:t>Other procedural issues</w:t>
            </w:r>
            <w:r w:rsidR="00865680">
              <w:rPr>
                <w:noProof/>
                <w:webHidden/>
              </w:rPr>
              <w:tab/>
            </w:r>
            <w:r w:rsidR="00865680">
              <w:rPr>
                <w:noProof/>
                <w:webHidden/>
              </w:rPr>
              <w:fldChar w:fldCharType="begin"/>
            </w:r>
            <w:r w:rsidR="00865680">
              <w:rPr>
                <w:noProof/>
                <w:webHidden/>
              </w:rPr>
              <w:instrText xml:space="preserve"> PAGEREF _Toc183293712 \h </w:instrText>
            </w:r>
            <w:r w:rsidR="00865680">
              <w:rPr>
                <w:noProof/>
                <w:webHidden/>
              </w:rPr>
            </w:r>
            <w:r w:rsidR="00865680">
              <w:rPr>
                <w:noProof/>
                <w:webHidden/>
              </w:rPr>
              <w:fldChar w:fldCharType="separate"/>
            </w:r>
            <w:r w:rsidR="00865680">
              <w:rPr>
                <w:noProof/>
                <w:webHidden/>
              </w:rPr>
              <w:t>8</w:t>
            </w:r>
            <w:r w:rsidR="00865680">
              <w:rPr>
                <w:noProof/>
                <w:webHidden/>
              </w:rPr>
              <w:fldChar w:fldCharType="end"/>
            </w:r>
          </w:hyperlink>
        </w:p>
        <w:p w14:paraId="3225D14D" w14:textId="17CDD3F4" w:rsidR="00797815" w:rsidRDefault="00797815" w:rsidP="00865680">
          <w:pPr>
            <w:spacing w:after="0" w:line="24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792F11E" w14:textId="5A6EB22F" w:rsidR="00797815" w:rsidRDefault="00E912F3" w:rsidP="00865680">
      <w:pPr>
        <w:pStyle w:val="Heading1"/>
      </w:pPr>
      <w:bookmarkStart w:id="0" w:name="_Toc183293704"/>
      <w:r>
        <w:t>Introduction</w:t>
      </w:r>
      <w:bookmarkEnd w:id="0"/>
    </w:p>
    <w:p w14:paraId="0572B74C" w14:textId="43CE5047" w:rsidR="00E912F3" w:rsidRPr="00E912F3" w:rsidRDefault="00E912F3" w:rsidP="0086568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E912F3">
        <w:rPr>
          <w:rFonts w:ascii="Verdana" w:hAnsi="Verdana" w:cs="Arial"/>
          <w:sz w:val="18"/>
          <w:szCs w:val="18"/>
        </w:rPr>
        <w:t>Practice Direction HC97 (</w:t>
      </w:r>
      <w:hyperlink r:id="rId8" w:history="1">
        <w:r w:rsidRPr="006C1027">
          <w:rPr>
            <w:rStyle w:val="Hyperlink"/>
            <w:rFonts w:ascii="Verdana" w:hAnsi="Verdana" w:cs="Arial"/>
            <w:sz w:val="18"/>
            <w:szCs w:val="18"/>
          </w:rPr>
          <w:t>https://www.courts.ie/content/written-submissions-and-issue-papers</w:t>
        </w:r>
      </w:hyperlink>
      <w:r w:rsidRPr="00E912F3">
        <w:rPr>
          <w:rFonts w:ascii="Verdana" w:hAnsi="Verdana" w:cs="Arial"/>
          <w:sz w:val="18"/>
          <w:szCs w:val="18"/>
        </w:rPr>
        <w:t>) provides that the court has its own book of authorities for various types of application.  The current book, dated December 2022 (</w:t>
      </w:r>
      <w:hyperlink r:id="rId9" w:history="1">
        <w:r w:rsidRPr="006C1027">
          <w:rPr>
            <w:rStyle w:val="Hyperlink"/>
            <w:rFonts w:ascii="Verdana" w:hAnsi="Verdana" w:cs="Arial"/>
            <w:sz w:val="18"/>
            <w:szCs w:val="18"/>
          </w:rPr>
          <w:t>https://www.courts.ie/acc/alfresco/e384051f-f1aa-4aa5-aa49-b5f21c1149ed/HC97%20-%20Book%20of%20Authorities-updated%20December%202022.pdf/pdf/1</w:t>
        </w:r>
      </w:hyperlink>
      <w:r w:rsidRPr="00E912F3">
        <w:rPr>
          <w:rFonts w:ascii="Verdana" w:hAnsi="Verdana" w:cs="Arial"/>
          <w:sz w:val="18"/>
          <w:szCs w:val="18"/>
        </w:rPr>
        <w:t xml:space="preserve">), is relevant to </w:t>
      </w:r>
      <w:r>
        <w:rPr>
          <w:rFonts w:ascii="Verdana" w:hAnsi="Verdana" w:cs="Arial"/>
          <w:sz w:val="18"/>
          <w:szCs w:val="18"/>
        </w:rPr>
        <w:t>a number of interlocutory and other</w:t>
      </w:r>
      <w:r w:rsidRPr="00E912F3">
        <w:rPr>
          <w:rFonts w:ascii="Verdana" w:hAnsi="Verdana" w:cs="Arial"/>
          <w:sz w:val="18"/>
          <w:szCs w:val="18"/>
        </w:rPr>
        <w:t xml:space="preserve"> applications.</w:t>
      </w:r>
    </w:p>
    <w:p w14:paraId="00FC3D01" w14:textId="2E7A441F" w:rsidR="00E912F3" w:rsidRPr="00E912F3" w:rsidRDefault="00E912F3" w:rsidP="0086568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It is appropriate to set out a similar published list of some recurring authorities in the Planning &amp; Environment Court </w:t>
      </w:r>
      <w:r w:rsidRPr="00E912F3">
        <w:rPr>
          <w:rFonts w:ascii="Verdana" w:hAnsi="Verdana" w:cs="Arial"/>
          <w:sz w:val="18"/>
          <w:szCs w:val="18"/>
        </w:rPr>
        <w:t>of which the parties are deemed to be on notice</w:t>
      </w:r>
      <w:r>
        <w:rPr>
          <w:rFonts w:ascii="Verdana" w:hAnsi="Verdana" w:cs="Arial"/>
          <w:sz w:val="18"/>
          <w:szCs w:val="18"/>
        </w:rPr>
        <w:t xml:space="preserve">, and which therefore need not be included in lists of authorities and may be referred to in judgments without being specifically cited.  </w:t>
      </w:r>
    </w:p>
    <w:p w14:paraId="67BD0ADB" w14:textId="6FE26D03" w:rsidR="00E912F3" w:rsidRPr="00E912F3" w:rsidRDefault="00E912F3" w:rsidP="0086568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Parties are also reminded that</w:t>
      </w:r>
      <w:r w:rsidRPr="00E912F3">
        <w:rPr>
          <w:rFonts w:ascii="Verdana" w:hAnsi="Verdana" w:cs="Arial"/>
          <w:sz w:val="18"/>
          <w:szCs w:val="18"/>
        </w:rPr>
        <w:t xml:space="preserve"> the court is r</w:t>
      </w:r>
      <w:r>
        <w:rPr>
          <w:rFonts w:ascii="Verdana" w:hAnsi="Verdana" w:cs="Arial"/>
          <w:sz w:val="18"/>
          <w:szCs w:val="18"/>
        </w:rPr>
        <w:t>e</w:t>
      </w:r>
      <w:r w:rsidRPr="00E912F3">
        <w:rPr>
          <w:rFonts w:ascii="Verdana" w:hAnsi="Verdana" w:cs="Arial"/>
          <w:sz w:val="18"/>
          <w:szCs w:val="18"/>
        </w:rPr>
        <w:t>quired to take judicial notice (which means independently of the parties) of various relevant pieces of law, including in particular:</w:t>
      </w:r>
    </w:p>
    <w:p w14:paraId="5A5655F0" w14:textId="77777777" w:rsidR="00E912F3" w:rsidRPr="00E912F3" w:rsidRDefault="00E912F3" w:rsidP="0086568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E912F3">
        <w:rPr>
          <w:rFonts w:ascii="Verdana" w:hAnsi="Verdana" w:cs="Arial"/>
          <w:sz w:val="18"/>
          <w:szCs w:val="18"/>
        </w:rPr>
        <w:t>(i)</w:t>
      </w:r>
      <w:r w:rsidRPr="00E912F3">
        <w:rPr>
          <w:rFonts w:ascii="Verdana" w:hAnsi="Verdana" w:cs="Arial"/>
          <w:sz w:val="18"/>
          <w:szCs w:val="18"/>
        </w:rPr>
        <w:tab/>
        <w:t>Luxembourg caselaw, and the EU treaties and official journal under reg. 4 of the European Communities (Judicial Notice and Documentary Evidence) Regulations, 1972 (S.I. No. 341 of 1972);</w:t>
      </w:r>
    </w:p>
    <w:p w14:paraId="3D2BD073" w14:textId="77777777" w:rsidR="00E912F3" w:rsidRPr="00E912F3" w:rsidRDefault="00E912F3" w:rsidP="0086568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E912F3">
        <w:rPr>
          <w:rFonts w:ascii="Verdana" w:hAnsi="Verdana" w:cs="Arial"/>
          <w:sz w:val="18"/>
          <w:szCs w:val="18"/>
        </w:rPr>
        <w:t>(ii)</w:t>
      </w:r>
      <w:r w:rsidRPr="00E912F3">
        <w:rPr>
          <w:rFonts w:ascii="Verdana" w:hAnsi="Verdana" w:cs="Arial"/>
          <w:sz w:val="18"/>
          <w:szCs w:val="18"/>
        </w:rPr>
        <w:tab/>
        <w:t>Strasbourg caselaw under s. 4 of the ECHR Act 2003;</w:t>
      </w:r>
    </w:p>
    <w:p w14:paraId="54E893B5" w14:textId="77777777" w:rsidR="00E912F3" w:rsidRPr="00E912F3" w:rsidRDefault="00E912F3" w:rsidP="0086568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E912F3">
        <w:rPr>
          <w:rFonts w:ascii="Verdana" w:hAnsi="Verdana" w:cs="Arial"/>
          <w:sz w:val="18"/>
          <w:szCs w:val="18"/>
        </w:rPr>
        <w:t>(iii)</w:t>
      </w:r>
      <w:r w:rsidRPr="00E912F3">
        <w:rPr>
          <w:rFonts w:ascii="Verdana" w:hAnsi="Verdana" w:cs="Arial"/>
          <w:sz w:val="18"/>
          <w:szCs w:val="18"/>
        </w:rPr>
        <w:tab/>
        <w:t>the Aarhus Convention under s. 8 of the Environment (Miscellaneous Provisions) Act 2011</w:t>
      </w:r>
    </w:p>
    <w:p w14:paraId="79776EFA" w14:textId="77777777" w:rsidR="00E912F3" w:rsidRPr="00E912F3" w:rsidRDefault="00E912F3" w:rsidP="0086568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E912F3">
        <w:rPr>
          <w:rFonts w:ascii="Verdana" w:hAnsi="Verdana" w:cs="Arial"/>
          <w:sz w:val="18"/>
          <w:szCs w:val="18"/>
        </w:rPr>
        <w:t>(iv)</w:t>
      </w:r>
      <w:r w:rsidRPr="00E912F3">
        <w:rPr>
          <w:rFonts w:ascii="Verdana" w:hAnsi="Verdana" w:cs="Arial"/>
          <w:sz w:val="18"/>
          <w:szCs w:val="18"/>
        </w:rPr>
        <w:tab/>
        <w:t>All primary statute law of the State including law enacted pre-independence and in force in 1922: ss. 2 and 13 of the Interpretation Act 2005;</w:t>
      </w:r>
    </w:p>
    <w:p w14:paraId="63B68F36" w14:textId="326D69A0" w:rsidR="00E912F3" w:rsidRDefault="00E912F3" w:rsidP="0086568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Finally, the court has a general entitlement to reference materials in a judgment not specifically cited or included in published lists such as the present one</w:t>
      </w:r>
      <w:r w:rsidR="004C5E27">
        <w:rPr>
          <w:rFonts w:ascii="Verdana" w:hAnsi="Verdana" w:cs="Arial"/>
          <w:sz w:val="18"/>
          <w:szCs w:val="18"/>
        </w:rPr>
        <w:t xml:space="preserve">: see </w:t>
      </w:r>
      <w:r w:rsidR="004C5E27" w:rsidRPr="004C5E27">
        <w:rPr>
          <w:rFonts w:ascii="Verdana" w:hAnsi="Verdana" w:cs="Arial"/>
          <w:sz w:val="18"/>
          <w:szCs w:val="18"/>
        </w:rPr>
        <w:t>O’Doherty and Waters v. Minister for Health 2022 IESC 32</w:t>
      </w:r>
      <w:r w:rsidR="004C5E27">
        <w:rPr>
          <w:rFonts w:ascii="Verdana" w:hAnsi="Verdana" w:cs="Arial"/>
          <w:sz w:val="18"/>
          <w:szCs w:val="18"/>
        </w:rPr>
        <w:t xml:space="preserve"> at paras. 94 and 95.  B</w:t>
      </w:r>
      <w:r>
        <w:rPr>
          <w:rFonts w:ascii="Verdana" w:hAnsi="Verdana" w:cs="Arial"/>
          <w:sz w:val="18"/>
          <w:szCs w:val="18"/>
        </w:rPr>
        <w:t>ut if such separate material would change the result the court would otherwise arrive at, the parties would be given notice</w:t>
      </w:r>
      <w:r w:rsidR="00865680">
        <w:rPr>
          <w:rFonts w:ascii="Verdana" w:hAnsi="Verdana" w:cs="Arial"/>
          <w:sz w:val="18"/>
          <w:szCs w:val="18"/>
        </w:rPr>
        <w:t xml:space="preserve">.  In the absence of such notice parties can assume that any such material reinforced rather than changed the result the court was otherwise minded to reach. </w:t>
      </w:r>
    </w:p>
    <w:p w14:paraId="23AA510C" w14:textId="77777777" w:rsidR="00865680" w:rsidRPr="00603E5B" w:rsidRDefault="00865680" w:rsidP="0086568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28250C8" w14:textId="3F6AA838" w:rsidR="00A73FBA" w:rsidRPr="00603E5B" w:rsidRDefault="00A73FBA" w:rsidP="00865680">
      <w:pPr>
        <w:pStyle w:val="Heading1"/>
      </w:pPr>
      <w:bookmarkStart w:id="1" w:name="_Toc183293705"/>
      <w:r w:rsidRPr="00603E5B">
        <w:t>Pleadings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73FBA" w:rsidRPr="00603E5B" w14:paraId="798A2103" w14:textId="77777777" w:rsidTr="006767A7">
        <w:tc>
          <w:tcPr>
            <w:tcW w:w="4508" w:type="dxa"/>
          </w:tcPr>
          <w:p w14:paraId="4C61CA38" w14:textId="5D8B193F" w:rsidR="00A73FBA" w:rsidRPr="00640937" w:rsidRDefault="00A73FBA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40937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Case </w:t>
            </w:r>
          </w:p>
        </w:tc>
        <w:tc>
          <w:tcPr>
            <w:tcW w:w="4508" w:type="dxa"/>
          </w:tcPr>
          <w:p w14:paraId="5E979DB5" w14:textId="4B27867F" w:rsidR="00A73FBA" w:rsidRPr="00640937" w:rsidRDefault="00A73FBA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40937">
              <w:rPr>
                <w:rFonts w:ascii="Verdana" w:hAnsi="Verdana" w:cs="Arial"/>
                <w:b/>
                <w:bCs/>
                <w:sz w:val="18"/>
                <w:szCs w:val="18"/>
              </w:rPr>
              <w:t>Relevant issue</w:t>
            </w:r>
          </w:p>
        </w:tc>
      </w:tr>
      <w:tr w:rsidR="00A73FBA" w:rsidRPr="00603E5B" w14:paraId="34D65B95" w14:textId="77777777" w:rsidTr="006767A7">
        <w:tc>
          <w:tcPr>
            <w:tcW w:w="4508" w:type="dxa"/>
          </w:tcPr>
          <w:p w14:paraId="14A6D218" w14:textId="77777777" w:rsidR="00A73FBA" w:rsidRDefault="00FD2BA9" w:rsidP="00865680">
            <w:pPr>
              <w:tabs>
                <w:tab w:val="left" w:pos="132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Hellfire Massy Residents Association v. An Bord Pleanála</w:t>
            </w:r>
            <w:r w:rsidRPr="00603E5B" w:rsidDel="00747B07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/>
                <w:sz w:val="18"/>
                <w:szCs w:val="18"/>
              </w:rPr>
              <w:t>[2022] IESC 38</w:t>
            </w:r>
          </w:p>
          <w:p w14:paraId="432124C1" w14:textId="455372CE" w:rsidR="006C1027" w:rsidRPr="00603E5B" w:rsidRDefault="006C1027" w:rsidP="00865680">
            <w:pPr>
              <w:tabs>
                <w:tab w:val="left" w:pos="1320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98BD77A" w14:textId="471B9163" w:rsidR="00A73FBA" w:rsidRPr="00603E5B" w:rsidRDefault="00FD2BA9" w:rsidP="00865680">
            <w:pPr>
              <w:rPr>
                <w:rFonts w:ascii="Verdana" w:hAnsi="Verdana" w:cs="Arial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Scattergun pleadings</w:t>
            </w:r>
          </w:p>
        </w:tc>
      </w:tr>
      <w:tr w:rsidR="00FD2BA9" w:rsidRPr="00603E5B" w14:paraId="6469AAD9" w14:textId="77777777" w:rsidTr="006767A7">
        <w:tc>
          <w:tcPr>
            <w:tcW w:w="4508" w:type="dxa"/>
          </w:tcPr>
          <w:p w14:paraId="61852E20" w14:textId="5CEA82D7" w:rsidR="00BF61F4" w:rsidRDefault="00FD2BA9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A.P. v. Director of Public Prosecutions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[2011] IESC 2, [2011] 1 I.R. 729, [2011] 2 I.L.R.M. 100 (Murray C.J., Denham J.)</w:t>
            </w:r>
          </w:p>
          <w:p w14:paraId="67D71EA5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7E73333E" w14:textId="2BAA6426" w:rsidR="00BF61F4" w:rsidRDefault="00FD2BA9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Khashaba v. Medical Council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[2016] IESC 10</w:t>
            </w:r>
            <w:r w:rsidR="00CC74ED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(Unreported, Supreme Court, O’Malley J., 7th March 2016)</w:t>
            </w:r>
          </w:p>
          <w:p w14:paraId="4C2A8037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6F4D0B9B" w14:textId="42D0CAD0" w:rsidR="00BF61F4" w:rsidRDefault="00FD2BA9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Casey v. Minister for Housing, Planning and Local Government &amp; Ors.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[2021] IESC 42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lastRenderedPageBreak/>
              <w:t>(Unreported, Supreme Court, Baker J., 16th July 2021</w:t>
            </w:r>
            <w:r w:rsidR="006B6D3E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)</w:t>
            </w:r>
          </w:p>
          <w:p w14:paraId="33E31994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36E40437" w14:textId="77777777" w:rsidR="00FD2BA9" w:rsidRDefault="00FD2BA9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Concerned Residents of Treascon and Clondoolusk v. An Bord Pleanála</w:t>
            </w:r>
            <w:r w:rsidRPr="00603E5B" w:rsidDel="002B461D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&amp; Ors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. [2024] IESC 28</w:t>
            </w:r>
            <w:r w:rsidR="00CC74ED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(Unreported, Supreme Court, </w:t>
            </w:r>
            <w:r w:rsidR="00BF61F4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Murray J.,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4th July 2024)</w:t>
            </w:r>
          </w:p>
          <w:p w14:paraId="31E4F9E1" w14:textId="6ED37CA0" w:rsidR="006C1027" w:rsidRPr="00603E5B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8530814" w14:textId="1CF0E6F1" w:rsidR="00FD2BA9" w:rsidRPr="00603E5B" w:rsidRDefault="00EE5883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lastRenderedPageBreak/>
              <w:t>Scope of the case</w:t>
            </w:r>
            <w:r w:rsidR="008B2293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restricted by pleadings</w:t>
            </w:r>
            <w:r w:rsidR="00543E14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D2BA9" w:rsidRPr="00603E5B" w14:paraId="19CCCFA9" w14:textId="77777777" w:rsidTr="006767A7">
        <w:tc>
          <w:tcPr>
            <w:tcW w:w="4508" w:type="dxa"/>
          </w:tcPr>
          <w:p w14:paraId="7AD3E65F" w14:textId="5F017290" w:rsidR="00FD2BA9" w:rsidRDefault="00FD2BA9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People Over Wind &amp; Another v. An Bord Pleanála &amp; Ors (No. 1)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[2015] IEHC 271 (Unreported, High Court, Haughton J., 1st May 2015)</w:t>
            </w:r>
          </w:p>
          <w:p w14:paraId="346C7D5B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13C5BC8B" w14:textId="77777777" w:rsidR="00254A92" w:rsidRDefault="00254A92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Order 84 r. 20(3) RSC</w:t>
            </w:r>
          </w:p>
          <w:p w14:paraId="04D30CE9" w14:textId="36C3C9E9" w:rsidR="006C1027" w:rsidRPr="00603E5B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FA2F63A" w14:textId="6D7EA129" w:rsidR="00FD2BA9" w:rsidRPr="00603E5B" w:rsidRDefault="00FD2BA9" w:rsidP="00865680">
            <w:pPr>
              <w:rPr>
                <w:rFonts w:ascii="Verdana" w:hAnsi="Verdana" w:cs="Arial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Pleading requirements in judicial review</w:t>
            </w:r>
          </w:p>
        </w:tc>
      </w:tr>
      <w:tr w:rsidR="00084E9D" w:rsidRPr="00603E5B" w14:paraId="5E9828F6" w14:textId="77777777" w:rsidTr="006767A7">
        <w:tc>
          <w:tcPr>
            <w:tcW w:w="4508" w:type="dxa"/>
          </w:tcPr>
          <w:p w14:paraId="66DE5807" w14:textId="77777777" w:rsidR="00084E9D" w:rsidRDefault="00084E9D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Ballyboden Tidy Towns Group v. An Bord Pleanála, The Minister for Housing, Local Government and Heritage, Ireland and the Attorney General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[2022] IEHC 7 (Unreported, High Court,</w:t>
            </w: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Holland J.,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10th January 2022)</w:t>
            </w:r>
          </w:p>
          <w:p w14:paraId="31861FC9" w14:textId="6500F08A" w:rsidR="006C1027" w:rsidRPr="00084E9D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17E1FD7" w14:textId="4C8CB350" w:rsidR="00084E9D" w:rsidRPr="00603E5B" w:rsidRDefault="005D4A0A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Reliance on </w:t>
            </w:r>
            <w:r w:rsidR="00010922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ambiguous</w:t>
            </w: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/</w:t>
            </w:r>
            <w:r w:rsidR="00010922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confusing grounds</w:t>
            </w:r>
          </w:p>
        </w:tc>
      </w:tr>
      <w:tr w:rsidR="00FD2BA9" w:rsidRPr="00603E5B" w14:paraId="63DA9D64" w14:textId="77777777" w:rsidTr="006767A7">
        <w:tc>
          <w:tcPr>
            <w:tcW w:w="4508" w:type="dxa"/>
          </w:tcPr>
          <w:p w14:paraId="7EB0CF2A" w14:textId="77777777" w:rsidR="00FD2BA9" w:rsidRDefault="0064093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Concerned Residents of Treascon and Clondoolusk v. An Bord Pleanála</w:t>
            </w:r>
            <w:r w:rsidRPr="00603E5B" w:rsidDel="002B461D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&amp; Ors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. [2024] IESC 28</w:t>
            </w:r>
            <w:r w:rsidRPr="00603E5B" w:rsidDel="002B461D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(Unreported, Supreme Court, </w:t>
            </w: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Murray J.,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4th July 2024)</w:t>
            </w:r>
          </w:p>
          <w:p w14:paraId="79B93BD1" w14:textId="1FB7BE97" w:rsidR="006C1027" w:rsidRPr="0012562F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508" w:type="dxa"/>
          </w:tcPr>
          <w:p w14:paraId="3204B466" w14:textId="3896EC2B" w:rsidR="00232AD9" w:rsidRPr="00603E5B" w:rsidRDefault="00F51875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Jur</w:t>
            </w:r>
            <w:r w:rsidR="00BA5867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isdiction to grant u</w:t>
            </w:r>
            <w:r w:rsidR="00FD2BA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npleaded reliefs</w:t>
            </w:r>
            <w:r w:rsidR="00BA5867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,</w:t>
            </w:r>
            <w:r w:rsidR="00B83A4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but</w:t>
            </w:r>
            <w:r w:rsidR="00BA5867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  <w:r w:rsidR="00B83A4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within the pleaded</w:t>
            </w:r>
            <w:r w:rsidR="00BA5867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grounds </w:t>
            </w:r>
            <w:r w:rsidR="00B83A4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5238B091" w14:textId="5F7374F2" w:rsidR="00FD2BA9" w:rsidRPr="00603E5B" w:rsidRDefault="00FD2BA9" w:rsidP="0086568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A089C" w:rsidRPr="00603E5B" w14:paraId="1E045F05" w14:textId="77777777" w:rsidTr="006767A7">
        <w:tc>
          <w:tcPr>
            <w:tcW w:w="4508" w:type="dxa"/>
          </w:tcPr>
          <w:p w14:paraId="18B4596F" w14:textId="5594F8D2" w:rsidR="006A089C" w:rsidRDefault="006A089C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Sweetman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[2020] IEHC 39</w:t>
            </w:r>
            <w:r w:rsidR="00CC74ED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(Sweetman XV) (Unreported, High Court, </w:t>
            </w: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McDonald J.,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31st January 2020)</w:t>
            </w:r>
          </w:p>
          <w:p w14:paraId="41BCFD0B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375CED97" w14:textId="4F1A6974" w:rsidR="006A089C" w:rsidRDefault="006A089C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Rushe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[2020] IEHC 122</w:t>
            </w:r>
            <w:r w:rsidRPr="00452520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(Unreported, High Court, Barniville J.,</w:t>
            </w: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5th March 2020)</w:t>
            </w:r>
          </w:p>
          <w:p w14:paraId="7EBB7CCC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607BDED7" w14:textId="77777777" w:rsidR="006A089C" w:rsidRDefault="006A089C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Alen-Buckley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[2017] IEHC 311 (Unreported, High Court, Costello J., 12th May 2017)</w:t>
            </w:r>
          </w:p>
          <w:p w14:paraId="40A58052" w14:textId="319FAED6" w:rsidR="006C1027" w:rsidRPr="00603E5B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83896F8" w14:textId="05AB6E91" w:rsidR="006A089C" w:rsidRPr="00603E5B" w:rsidRDefault="006A089C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Pleading requirements for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non-transposition claims</w:t>
            </w:r>
          </w:p>
        </w:tc>
      </w:tr>
      <w:tr w:rsidR="006A089C" w:rsidRPr="00603E5B" w14:paraId="166CC443" w14:textId="77777777" w:rsidTr="006767A7">
        <w:tc>
          <w:tcPr>
            <w:tcW w:w="4508" w:type="dxa"/>
          </w:tcPr>
          <w:p w14:paraId="6DE10351" w14:textId="136738A6" w:rsidR="006A089C" w:rsidRPr="00603E5B" w:rsidRDefault="006A089C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Reid v. An Bord Pleanála (No. 7)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27, (Unreported, High Court, 24th January 2024)</w:t>
            </w:r>
          </w:p>
          <w:p w14:paraId="69816501" w14:textId="77777777" w:rsidR="006A089C" w:rsidRPr="00603E5B" w:rsidRDefault="006A089C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40CB447" w14:textId="47A3204D" w:rsidR="006A089C" w:rsidRPr="00603E5B" w:rsidRDefault="006A089C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R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ules of pleading</w:t>
            </w:r>
            <w:r w:rsidR="00D7779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, importance of rules in a context of special complexity such as </w:t>
            </w:r>
            <w:r w:rsidR="00BE69C6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EU-heavy areas of planning law</w:t>
            </w:r>
          </w:p>
        </w:tc>
      </w:tr>
      <w:tr w:rsidR="006A089C" w:rsidRPr="00603E5B" w14:paraId="37615CA8" w14:textId="77777777" w:rsidTr="006767A7">
        <w:tc>
          <w:tcPr>
            <w:tcW w:w="4508" w:type="dxa"/>
          </w:tcPr>
          <w:p w14:paraId="10072783" w14:textId="072FC9DD" w:rsidR="006A089C" w:rsidRPr="00603E5B" w:rsidRDefault="006A089C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Friends of the Irish Environment v. Government of Ireland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[2023] IEHC 562 (Unreported, High Court, 19th October 2023)</w:t>
            </w:r>
          </w:p>
          <w:p w14:paraId="5A3F6447" w14:textId="77777777" w:rsidR="006A089C" w:rsidRPr="00603E5B" w:rsidRDefault="006A089C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CF6E94F" w14:textId="43CB2386" w:rsidR="006A089C" w:rsidRPr="00603E5B" w:rsidRDefault="008E05ED" w:rsidP="00865680">
            <w:pPr>
              <w:tabs>
                <w:tab w:val="left" w:pos="1320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Justiciability</w:t>
            </w:r>
            <w:r w:rsidR="00A4177D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  <w:r w:rsidR="008B2293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requirements </w:t>
            </w:r>
            <w:r w:rsidR="00A4177D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– non-academic, properly pleaded, in dispute, </w:t>
            </w:r>
            <w:r w:rsidR="008B2293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necessary and appropriate</w:t>
            </w:r>
          </w:p>
        </w:tc>
      </w:tr>
    </w:tbl>
    <w:p w14:paraId="4F74C6AD" w14:textId="77777777" w:rsidR="00A73FBA" w:rsidRPr="00603E5B" w:rsidRDefault="00A73FBA" w:rsidP="0086568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DC1D320" w14:textId="1C00CE2D" w:rsidR="00A73FBA" w:rsidRPr="00603E5B" w:rsidRDefault="00603E5B" w:rsidP="00865680">
      <w:pPr>
        <w:pStyle w:val="Heading1"/>
      </w:pPr>
      <w:bookmarkStart w:id="2" w:name="_Toc183293706"/>
      <w:r w:rsidRPr="00603E5B">
        <w:t>N</w:t>
      </w:r>
      <w:r w:rsidR="00A73FBA" w:rsidRPr="00603E5B">
        <w:t>on-publication</w:t>
      </w:r>
      <w:bookmarkEnd w:id="2"/>
      <w:r w:rsidR="00A73FBA" w:rsidRPr="00603E5B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73FBA" w:rsidRPr="00603E5B" w14:paraId="0BA60FF6" w14:textId="77777777" w:rsidTr="006767A7">
        <w:tc>
          <w:tcPr>
            <w:tcW w:w="4508" w:type="dxa"/>
          </w:tcPr>
          <w:p w14:paraId="0A8D4BFC" w14:textId="429EB7D9" w:rsidR="00A73FBA" w:rsidRPr="00640937" w:rsidRDefault="00A73FBA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40937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Case </w:t>
            </w:r>
          </w:p>
        </w:tc>
        <w:tc>
          <w:tcPr>
            <w:tcW w:w="4508" w:type="dxa"/>
          </w:tcPr>
          <w:p w14:paraId="69A8CBF9" w14:textId="5DFFD181" w:rsidR="00A73FBA" w:rsidRPr="00640937" w:rsidRDefault="00A73FBA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40937">
              <w:rPr>
                <w:rFonts w:ascii="Verdana" w:hAnsi="Verdana" w:cs="Arial"/>
                <w:b/>
                <w:bCs/>
                <w:sz w:val="18"/>
                <w:szCs w:val="18"/>
              </w:rPr>
              <w:t>Relevant issue</w:t>
            </w:r>
          </w:p>
        </w:tc>
      </w:tr>
      <w:tr w:rsidR="00A73FBA" w:rsidRPr="00603E5B" w14:paraId="2E23D2CA" w14:textId="77777777" w:rsidTr="006767A7">
        <w:tc>
          <w:tcPr>
            <w:tcW w:w="4508" w:type="dxa"/>
          </w:tcPr>
          <w:p w14:paraId="3A9C8A17" w14:textId="434C66D3" w:rsidR="00B83A4B" w:rsidRDefault="00B83A4B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Casey v. Minister for Housing, Planning and Local Government &amp; Ors.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[2021] IESC 42 (Unreported, Supreme Court, Baker J., 16th July 2021</w:t>
            </w: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)</w:t>
            </w:r>
          </w:p>
          <w:p w14:paraId="04D56735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324DCB5B" w14:textId="651184C4" w:rsidR="006B3B4B" w:rsidRDefault="00BD249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Clonres CLG v. An Bord Pleanála (No. 2)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[2021] IEHC 303 (Unreported, High Court, 7th May 2021)</w:t>
            </w:r>
          </w:p>
          <w:p w14:paraId="505A0F59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7B40A772" w14:textId="3652C1E5" w:rsidR="006B3B4B" w:rsidRDefault="00BD249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Clifford v. An Bord Pleanála (No. 1)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[2021] IEHC 459 (Unreported, High Court, 12th July 2021)</w:t>
            </w:r>
            <w:r w:rsidR="008B75CD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;</w:t>
            </w:r>
          </w:p>
          <w:p w14:paraId="3BCF5373" w14:textId="6C1F446B" w:rsidR="006B3B4B" w:rsidRDefault="00BD249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lastRenderedPageBreak/>
              <w:t xml:space="preserve">Clifford v. An Bord Pleanála (No. 3)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[2022] IEHC 474</w:t>
            </w:r>
            <w:r w:rsidR="00CC74ED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(Unreported, High Court, 15th August 2022)</w:t>
            </w:r>
          </w:p>
          <w:p w14:paraId="1A23D04F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4FAAEC7E" w14:textId="0690A852" w:rsidR="006B3B4B" w:rsidRDefault="00BD249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Reid v. An Bord Pleanála (No. 7)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27 (Unreported, High Court, 24th January 2024)</w:t>
            </w:r>
          </w:p>
          <w:p w14:paraId="3E13E2ED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413CBE53" w14:textId="7696178B" w:rsidR="006B3B4B" w:rsidRDefault="00BD249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Carrownagowan Concern Group v. An Bord Pleanála (No. 2)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300 (Unreported, High Court, 20 May 2024)</w:t>
            </w:r>
          </w:p>
          <w:p w14:paraId="318B94EE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0F22B887" w14:textId="77777777" w:rsidR="00A73FBA" w:rsidRDefault="00BD249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Kennedy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570 (Unreported, High Court, 7th October 2024)</w:t>
            </w:r>
          </w:p>
          <w:p w14:paraId="7CBF178C" w14:textId="33A79864" w:rsidR="006C1027" w:rsidRPr="00603E5B" w:rsidRDefault="006C1027" w:rsidP="0086568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F2786E1" w14:textId="574A9DE6" w:rsidR="006B3B4B" w:rsidRDefault="006B3B4B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lastRenderedPageBreak/>
              <w:t>Effect of failure to publish on the validity of the decision</w:t>
            </w:r>
          </w:p>
          <w:p w14:paraId="49F74521" w14:textId="64986DB9" w:rsidR="00A73FBA" w:rsidRPr="00603E5B" w:rsidRDefault="00A73FBA" w:rsidP="0086568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73FBA" w:rsidRPr="00603E5B" w14:paraId="7A303091" w14:textId="77777777" w:rsidTr="00583AEC">
        <w:tc>
          <w:tcPr>
            <w:tcW w:w="4508" w:type="dxa"/>
            <w:shd w:val="clear" w:color="auto" w:fill="auto"/>
          </w:tcPr>
          <w:p w14:paraId="4AB17C60" w14:textId="77777777" w:rsidR="006B3B4B" w:rsidRPr="00583AEC" w:rsidRDefault="00BD249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583AEC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Cahill v. Sutton</w:t>
            </w:r>
            <w:r w:rsidRPr="00583AEC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[1980] I.R. 269</w:t>
            </w:r>
          </w:p>
          <w:p w14:paraId="2415BE8B" w14:textId="771233D1" w:rsidR="00A73FBA" w:rsidRDefault="00BD2491" w:rsidP="00865680">
            <w:pPr>
              <w:rPr>
                <w:rFonts w:ascii="Verdana" w:hAnsi="Verdana"/>
                <w:sz w:val="18"/>
                <w:szCs w:val="18"/>
              </w:rPr>
            </w:pPr>
            <w:r w:rsidRPr="00583AEC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Hellfire Massy Residents Association v. An Bord Pleanála</w:t>
            </w:r>
            <w:r w:rsidRPr="00583AEC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[2021] IEHC 424</w:t>
            </w:r>
            <w:r w:rsidRPr="00583AEC">
              <w:rPr>
                <w:rFonts w:ascii="Verdana" w:hAnsi="Verdana"/>
                <w:sz w:val="18"/>
                <w:szCs w:val="18"/>
              </w:rPr>
              <w:t xml:space="preserve"> (Unreported, High Court, 13th October 2021)</w:t>
            </w:r>
          </w:p>
          <w:p w14:paraId="2F5A5405" w14:textId="226A62A8" w:rsidR="006C1027" w:rsidRPr="00583AEC" w:rsidRDefault="006C1027" w:rsidP="0086568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  <w:shd w:val="clear" w:color="auto" w:fill="auto"/>
          </w:tcPr>
          <w:p w14:paraId="6385CDCE" w14:textId="5058F5BF" w:rsidR="00A73FBA" w:rsidRDefault="00BD249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583AEC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Assert</w:t>
            </w:r>
            <w:r w:rsidR="00583AEC" w:rsidRPr="00583AEC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ing</w:t>
            </w:r>
            <w:r w:rsidRPr="00583AEC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the constitutional or fair procedures rights of a third party</w:t>
            </w:r>
            <w:r w:rsidR="008E05ED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;</w:t>
            </w:r>
          </w:p>
          <w:p w14:paraId="375605FB" w14:textId="4F67E903" w:rsidR="009D0E79" w:rsidRPr="00583AEC" w:rsidRDefault="009D0E79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Relief for failure to comply with notification requirements </w:t>
            </w:r>
            <w:r w:rsidRPr="009D0E79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that is in breach of the law but has not on the facts prevented the particular applicant in the proceedings at hand from engaging with the process</w:t>
            </w:r>
          </w:p>
        </w:tc>
      </w:tr>
    </w:tbl>
    <w:p w14:paraId="714C0FE1" w14:textId="77777777" w:rsidR="00A73FBA" w:rsidRPr="00603E5B" w:rsidRDefault="00A73FBA" w:rsidP="0086568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E0A2420" w14:textId="435FAF57" w:rsidR="00A73FBA" w:rsidRPr="00603E5B" w:rsidRDefault="00FD2BA9" w:rsidP="00865680">
      <w:pPr>
        <w:pStyle w:val="Heading1"/>
      </w:pPr>
      <w:bookmarkStart w:id="3" w:name="_Toc183293707"/>
      <w:r w:rsidRPr="00603E5B">
        <w:t>Jurisdictional-type requirements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73FBA" w:rsidRPr="00603E5B" w14:paraId="126ED7DC" w14:textId="77777777" w:rsidTr="006767A7">
        <w:tc>
          <w:tcPr>
            <w:tcW w:w="4508" w:type="dxa"/>
          </w:tcPr>
          <w:p w14:paraId="36189CFE" w14:textId="12704C71" w:rsidR="00A73FBA" w:rsidRPr="00640937" w:rsidRDefault="00A73FBA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40937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Case </w:t>
            </w:r>
          </w:p>
        </w:tc>
        <w:tc>
          <w:tcPr>
            <w:tcW w:w="4508" w:type="dxa"/>
          </w:tcPr>
          <w:p w14:paraId="694B8D0B" w14:textId="79313934" w:rsidR="00A73FBA" w:rsidRPr="00640937" w:rsidRDefault="00A73FBA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40937">
              <w:rPr>
                <w:rFonts w:ascii="Verdana" w:hAnsi="Verdana" w:cs="Arial"/>
                <w:b/>
                <w:bCs/>
                <w:sz w:val="18"/>
                <w:szCs w:val="18"/>
              </w:rPr>
              <w:t>Relevant issue</w:t>
            </w:r>
          </w:p>
        </w:tc>
      </w:tr>
      <w:tr w:rsidR="00A73FBA" w:rsidRPr="00603E5B" w14:paraId="6889BBB9" w14:textId="77777777" w:rsidTr="006767A7">
        <w:tc>
          <w:tcPr>
            <w:tcW w:w="4508" w:type="dxa"/>
          </w:tcPr>
          <w:p w14:paraId="2FDF8D53" w14:textId="105AD0BD" w:rsidR="00E76BB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Cahill v. Sutton </w:t>
            </w:r>
            <w:r w:rsidRPr="00603E5B">
              <w:rPr>
                <w:rFonts w:ascii="Verdana" w:hAnsi="Verdana"/>
                <w:sz w:val="18"/>
                <w:szCs w:val="18"/>
              </w:rPr>
              <w:t>[1980] I.R. 269</w:t>
            </w:r>
          </w:p>
          <w:p w14:paraId="445FBF75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0C7EFC8F" w14:textId="0706A739" w:rsidR="00E76BB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Hellfire Massy </w:t>
            </w: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Residents Association</w:t>
            </w: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 v. An Bord Pleanála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[2021] IEHC 424 (Unreported, High Court, 13th October 2021)</w:t>
            </w:r>
          </w:p>
          <w:p w14:paraId="56EE1D81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222AF61C" w14:textId="77777777" w:rsidR="00A73FBA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Conway v. Minister for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Housing, Local Government &amp; Heritage &amp; Ors. </w:t>
            </w:r>
            <w:r w:rsidRPr="00603E5B">
              <w:rPr>
                <w:rFonts w:ascii="Verdana" w:hAnsi="Verdana"/>
                <w:sz w:val="18"/>
                <w:szCs w:val="18"/>
              </w:rPr>
              <w:t>[2024] IESC 34 (Unreported, Supreme Court, 23rd July 2024)</w:t>
            </w:r>
          </w:p>
          <w:p w14:paraId="415BC5E0" w14:textId="21095236" w:rsidR="006C1027" w:rsidRPr="00603E5B" w:rsidRDefault="006C1027" w:rsidP="0086568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8C2E9A1" w14:textId="0B914949" w:rsidR="00FD2BA9" w:rsidRPr="00603E5B" w:rsidRDefault="00FD2BA9" w:rsidP="00865680">
            <w:pPr>
              <w:rPr>
                <w:rFonts w:ascii="Verdana" w:hAnsi="Verdana" w:cs="Arial"/>
                <w:sz w:val="18"/>
                <w:szCs w:val="18"/>
              </w:rPr>
            </w:pPr>
            <w:r w:rsidRPr="00603E5B">
              <w:rPr>
                <w:rFonts w:ascii="Verdana" w:hAnsi="Verdana"/>
                <w:sz w:val="18"/>
                <w:szCs w:val="18"/>
              </w:rPr>
              <w:t>Standing</w:t>
            </w:r>
            <w:r w:rsidR="008931CD">
              <w:rPr>
                <w:rFonts w:ascii="Verdana" w:hAnsi="Verdana"/>
                <w:sz w:val="18"/>
                <w:szCs w:val="18"/>
              </w:rPr>
              <w:t>, applicant must be affected</w:t>
            </w:r>
          </w:p>
        </w:tc>
      </w:tr>
      <w:tr w:rsidR="00A73FBA" w:rsidRPr="00603E5B" w14:paraId="661A88DE" w14:textId="77777777" w:rsidTr="006767A7">
        <w:tc>
          <w:tcPr>
            <w:tcW w:w="4508" w:type="dxa"/>
          </w:tcPr>
          <w:p w14:paraId="023CA0AA" w14:textId="77777777" w:rsidR="00D84FDD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Harte v. Superior Courts Rules Committee </w:t>
            </w:r>
            <w:r w:rsidRPr="00603E5B">
              <w:rPr>
                <w:rFonts w:ascii="Verdana" w:hAnsi="Verdana"/>
                <w:sz w:val="18"/>
                <w:szCs w:val="18"/>
              </w:rPr>
              <w:t>[2024] IESC 2</w:t>
            </w: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/>
                <w:sz w:val="18"/>
                <w:szCs w:val="18"/>
              </w:rPr>
              <w:t>(Unreported, Supreme Court, 9th February 2024)</w:t>
            </w:r>
          </w:p>
          <w:p w14:paraId="06F39A54" w14:textId="77777777" w:rsidR="00A73FBA" w:rsidRPr="00603E5B" w:rsidRDefault="00A73FBA" w:rsidP="0086568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A742E21" w14:textId="1C2478AF" w:rsidR="00A73FBA" w:rsidRPr="00603E5B" w:rsidRDefault="00CB3AAD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</w:t>
            </w:r>
            <w:r w:rsidR="00FD2BA9" w:rsidRPr="00603E5B">
              <w:rPr>
                <w:rFonts w:ascii="Verdana" w:hAnsi="Verdana"/>
                <w:sz w:val="18"/>
                <w:szCs w:val="18"/>
              </w:rPr>
              <w:t>ime periods outside which extension of time required</w:t>
            </w:r>
            <w:r w:rsidR="00FA3AAF">
              <w:rPr>
                <w:rFonts w:ascii="Verdana" w:hAnsi="Verdana"/>
                <w:sz w:val="18"/>
                <w:szCs w:val="18"/>
              </w:rPr>
              <w:t xml:space="preserve"> not a limitation period but a lawful rule</w:t>
            </w:r>
          </w:p>
        </w:tc>
      </w:tr>
      <w:tr w:rsidR="00CE5D87" w:rsidRPr="00603E5B" w14:paraId="3243CA66" w14:textId="77777777" w:rsidTr="006767A7">
        <w:tc>
          <w:tcPr>
            <w:tcW w:w="4508" w:type="dxa"/>
          </w:tcPr>
          <w:p w14:paraId="28BC5F0A" w14:textId="2549F0E7" w:rsidR="00CE5D87" w:rsidRDefault="00CE5D87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Krikke v. An Bord </w:t>
            </w:r>
            <w:r w:rsidRPr="00AE620D">
              <w:rPr>
                <w:rFonts w:ascii="Verdana" w:hAnsi="Verdana"/>
                <w:i/>
                <w:iCs/>
                <w:sz w:val="18"/>
                <w:szCs w:val="18"/>
              </w:rPr>
              <w:t xml:space="preserve">Pleanála </w:t>
            </w:r>
            <w:r w:rsidRPr="00AE620D">
              <w:rPr>
                <w:rFonts w:ascii="Verdana" w:hAnsi="Verdana"/>
                <w:sz w:val="18"/>
                <w:szCs w:val="18"/>
              </w:rPr>
              <w:t>[2022] IESC 41</w:t>
            </w:r>
            <w:r w:rsidR="00AE620D" w:rsidRPr="00AE620D">
              <w:rPr>
                <w:rFonts w:ascii="Verdana" w:hAnsi="Verdana"/>
                <w:sz w:val="18"/>
                <w:szCs w:val="18"/>
              </w:rPr>
              <w:t>,</w:t>
            </w:r>
            <w:r w:rsidR="00AE620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E620D" w:rsidRPr="00AE620D">
              <w:rPr>
                <w:rFonts w:ascii="Verdana" w:hAnsi="Verdana"/>
                <w:sz w:val="18"/>
                <w:szCs w:val="18"/>
              </w:rPr>
              <w:t>[2023] 1 I</w:t>
            </w:r>
            <w:r w:rsidR="00AE620D">
              <w:rPr>
                <w:rFonts w:ascii="Verdana" w:hAnsi="Verdana"/>
                <w:sz w:val="18"/>
                <w:szCs w:val="18"/>
              </w:rPr>
              <w:t>.</w:t>
            </w:r>
            <w:r w:rsidR="00AE620D" w:rsidRPr="00AE620D">
              <w:rPr>
                <w:rFonts w:ascii="Verdana" w:hAnsi="Verdana"/>
                <w:sz w:val="18"/>
                <w:szCs w:val="18"/>
              </w:rPr>
              <w:t>L</w:t>
            </w:r>
            <w:r w:rsidR="00AE620D">
              <w:rPr>
                <w:rFonts w:ascii="Verdana" w:hAnsi="Verdana"/>
                <w:sz w:val="18"/>
                <w:szCs w:val="18"/>
              </w:rPr>
              <w:t>.</w:t>
            </w:r>
            <w:r w:rsidR="00AE620D" w:rsidRPr="00AE620D">
              <w:rPr>
                <w:rFonts w:ascii="Verdana" w:hAnsi="Verdana"/>
                <w:sz w:val="18"/>
                <w:szCs w:val="18"/>
              </w:rPr>
              <w:t>R</w:t>
            </w:r>
            <w:r w:rsidR="00AE620D">
              <w:rPr>
                <w:rFonts w:ascii="Verdana" w:hAnsi="Verdana"/>
                <w:sz w:val="18"/>
                <w:szCs w:val="18"/>
              </w:rPr>
              <w:t>.</w:t>
            </w:r>
            <w:r w:rsidR="00AE620D" w:rsidRPr="00AE620D">
              <w:rPr>
                <w:rFonts w:ascii="Verdana" w:hAnsi="Verdana"/>
                <w:sz w:val="18"/>
                <w:szCs w:val="18"/>
              </w:rPr>
              <w:t>M</w:t>
            </w:r>
            <w:r w:rsidR="00AE620D">
              <w:rPr>
                <w:rFonts w:ascii="Verdana" w:hAnsi="Verdana"/>
                <w:sz w:val="18"/>
                <w:szCs w:val="18"/>
              </w:rPr>
              <w:t>.</w:t>
            </w:r>
            <w:r w:rsidR="00AE620D" w:rsidRPr="00AE620D">
              <w:rPr>
                <w:rFonts w:ascii="Verdana" w:hAnsi="Verdana"/>
                <w:sz w:val="18"/>
                <w:szCs w:val="18"/>
              </w:rPr>
              <w:t xml:space="preserve"> 81</w:t>
            </w:r>
          </w:p>
          <w:p w14:paraId="6C1B8549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1900EA3F" w14:textId="77777777" w:rsidR="00B83A4B" w:rsidRDefault="00B83A4B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U.T. (Sri Lanka) v. Secretary of State for the Home Department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[2019] EWCA Civ 1095, [2019] 6 W.L.U.K. 379</w:t>
            </w:r>
          </w:p>
          <w:p w14:paraId="27676C6F" w14:textId="5D96DDD2" w:rsidR="006C1027" w:rsidRPr="00603E5B" w:rsidRDefault="006C1027" w:rsidP="008656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4508" w:type="dxa"/>
          </w:tcPr>
          <w:p w14:paraId="45B7ABBA" w14:textId="0D373BEC" w:rsidR="00CE5D87" w:rsidRPr="001316C7" w:rsidRDefault="00444D04" w:rsidP="00865680">
            <w:pPr>
              <w:rPr>
                <w:rFonts w:ascii="Verdana" w:hAnsi="Verdana"/>
                <w:sz w:val="18"/>
                <w:szCs w:val="18"/>
              </w:rPr>
            </w:pPr>
            <w:r w:rsidRPr="001316C7">
              <w:rPr>
                <w:rFonts w:ascii="Verdana" w:hAnsi="Verdana"/>
                <w:sz w:val="18"/>
                <w:szCs w:val="18"/>
              </w:rPr>
              <w:t xml:space="preserve">Time </w:t>
            </w:r>
            <w:r w:rsidR="001316C7" w:rsidRPr="001316C7">
              <w:rPr>
                <w:rFonts w:ascii="Verdana" w:hAnsi="Verdana"/>
                <w:sz w:val="18"/>
                <w:szCs w:val="18"/>
              </w:rPr>
              <w:t xml:space="preserve">– </w:t>
            </w:r>
            <w:r w:rsidR="00CE5D87" w:rsidRPr="001316C7">
              <w:rPr>
                <w:rFonts w:ascii="Verdana" w:hAnsi="Verdana"/>
                <w:sz w:val="18"/>
                <w:szCs w:val="18"/>
              </w:rPr>
              <w:t xml:space="preserve">subsequent decisions </w:t>
            </w:r>
            <w:r w:rsidR="00B83A4B">
              <w:rPr>
                <w:rFonts w:ascii="Verdana" w:hAnsi="Verdana"/>
                <w:sz w:val="18"/>
                <w:szCs w:val="18"/>
              </w:rPr>
              <w:t>to</w:t>
            </w:r>
            <w:r w:rsidR="00CE5D87" w:rsidRPr="001316C7">
              <w:rPr>
                <w:rFonts w:ascii="Verdana" w:hAnsi="Verdana"/>
                <w:sz w:val="18"/>
                <w:szCs w:val="18"/>
              </w:rPr>
              <w:t xml:space="preserve"> which </w:t>
            </w:r>
            <w:r w:rsidR="00B83A4B">
              <w:rPr>
                <w:rFonts w:ascii="Verdana" w:hAnsi="Verdana"/>
                <w:sz w:val="18"/>
                <w:szCs w:val="18"/>
              </w:rPr>
              <w:t>a</w:t>
            </w:r>
            <w:r w:rsidR="00CE5D87" w:rsidRPr="001316C7">
              <w:rPr>
                <w:rFonts w:ascii="Verdana" w:hAnsi="Verdana"/>
                <w:sz w:val="18"/>
                <w:szCs w:val="18"/>
              </w:rPr>
              <w:t xml:space="preserve"> previous unchallenged decision is relevant</w:t>
            </w:r>
          </w:p>
        </w:tc>
      </w:tr>
      <w:tr w:rsidR="00FD2BA9" w:rsidRPr="00603E5B" w14:paraId="5C11BF03" w14:textId="77777777" w:rsidTr="006767A7">
        <w:tc>
          <w:tcPr>
            <w:tcW w:w="4508" w:type="dxa"/>
          </w:tcPr>
          <w:p w14:paraId="153D02A4" w14:textId="20AB946D" w:rsidR="00CE5D8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Rachki v. Governor of Cloverhill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(Unreported, Supreme Court, 5th December 2011) </w:t>
            </w: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ex tempore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(Fennelly J.)</w:t>
            </w:r>
          </w:p>
          <w:p w14:paraId="6A815368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3F6F1F11" w14:textId="7169F083" w:rsidR="00CE5D8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K.P. v. Minister for Justice and Equality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[2017] IEHC 95</w:t>
            </w:r>
            <w:r w:rsidR="00CC74ED"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603E5B">
              <w:rPr>
                <w:rFonts w:ascii="Verdana" w:hAnsi="Verdana"/>
                <w:sz w:val="18"/>
                <w:szCs w:val="18"/>
              </w:rPr>
              <w:t>Unreported, High Court, 20th February 2017)</w:t>
            </w:r>
          </w:p>
          <w:p w14:paraId="354B11D9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67C40D6C" w14:textId="083CC668" w:rsidR="00CE5D8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M.A. (Pakistan) v. Minister for Justice and Equality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[2018] IEHC 95 (Unreported, High Court, 30th January 2018)</w:t>
            </w:r>
          </w:p>
          <w:p w14:paraId="2586C006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7B36E094" w14:textId="1E943E27" w:rsidR="00CE5D8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S.S. (Pakistan) v. Governor of the Midlands Prison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[2018] IEHC 442 (Unreported, High Court, 17th July 2018)</w:t>
            </w:r>
          </w:p>
          <w:p w14:paraId="2BB755E3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75F699DB" w14:textId="382124C0" w:rsidR="00CE5D8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lastRenderedPageBreak/>
              <w:t>Shell E &amp; P Ireland Ltd. v. McGrath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[2013] IESC 1, [2013] 1 I.R. 147</w:t>
            </w:r>
          </w:p>
          <w:p w14:paraId="05B4FCCF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2CDD2628" w14:textId="6A8BB7A2" w:rsidR="00CE5D8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Express Bus Ltd. v. National Transport Authority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[2018] IECA 236, [2019] 2 I.R. 680</w:t>
            </w:r>
          </w:p>
          <w:p w14:paraId="131442D1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69E5164B" w14:textId="0D10B28C" w:rsidR="00CE5D8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Illegal Immigrants (Trafficking) Bill 1999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[2000] IESC 19, [2000] 2 I.R. 360</w:t>
            </w:r>
          </w:p>
          <w:p w14:paraId="337C416E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65D2F9AF" w14:textId="549E5F87" w:rsidR="00CE5D8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Gayle v. Governor of the Dóchas Centre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[2017] IEHC 718 (Unreported, High Court, 27th October 2017)</w:t>
            </w:r>
          </w:p>
          <w:p w14:paraId="7822A6F3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4D92EE86" w14:textId="5AC3A07F" w:rsidR="00CE5D8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Nawaz v. Minister for Justice, Equality and Law Reform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[2012] IESC 58, [2013] 1 I.R. 142</w:t>
            </w:r>
          </w:p>
          <w:p w14:paraId="13BF165D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188C63FC" w14:textId="1DF11BE7" w:rsidR="00CE5D8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X.X. v. Minister for Justice and Equality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[2018] IECA 124 (Unreported, Court of Appeal, </w:t>
            </w:r>
            <w:r w:rsidR="00CE5D87">
              <w:rPr>
                <w:rFonts w:ascii="Verdana" w:hAnsi="Verdana"/>
                <w:sz w:val="18"/>
                <w:szCs w:val="18"/>
              </w:rPr>
              <w:t xml:space="preserve">Hogan J., </w:t>
            </w:r>
            <w:r w:rsidRPr="00603E5B">
              <w:rPr>
                <w:rFonts w:ascii="Verdana" w:hAnsi="Verdana"/>
                <w:sz w:val="18"/>
                <w:szCs w:val="18"/>
              </w:rPr>
              <w:t>4th May 2018)</w:t>
            </w:r>
          </w:p>
          <w:p w14:paraId="68D45B23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1FEFE1F6" w14:textId="45C838BF" w:rsidR="00CE5D8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Smith v. Minister for Justice and Equality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[2013] IESC 4, [2013] 1 I.R. 294</w:t>
            </w:r>
          </w:p>
          <w:p w14:paraId="0CFE0B2A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72491A25" w14:textId="2D35CA55" w:rsidR="00CE5D8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K.R.A. v. Minister for Justice and Equality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[2017] IECA 284 (Unreported, Court of Appeal, </w:t>
            </w:r>
            <w:r w:rsidR="00CE5D87">
              <w:rPr>
                <w:rFonts w:ascii="Verdana" w:hAnsi="Verdana"/>
                <w:sz w:val="18"/>
                <w:szCs w:val="18"/>
              </w:rPr>
              <w:t xml:space="preserve">Ryan P., </w:t>
            </w:r>
            <w:r w:rsidRPr="00603E5B">
              <w:rPr>
                <w:rFonts w:ascii="Verdana" w:hAnsi="Verdana"/>
                <w:sz w:val="18"/>
                <w:szCs w:val="18"/>
              </w:rPr>
              <w:t>27th October 2017)</w:t>
            </w:r>
          </w:p>
          <w:p w14:paraId="3747FEC4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1FBFC2C4" w14:textId="039FFBA5" w:rsidR="00CE5D87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A.S. v. Bangladesh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[2015] IEHC 417 (Unreported, Stewart J., 7th July 2015)</w:t>
            </w:r>
          </w:p>
          <w:p w14:paraId="4C7D6AF6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3F10CF14" w14:textId="77777777" w:rsidR="00FD2BA9" w:rsidRDefault="00FD2BA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A.A.D. (Somalia) v. Chief International Protection Officer </w:t>
            </w:r>
            <w:r w:rsidRPr="00603E5B">
              <w:rPr>
                <w:rFonts w:ascii="Verdana" w:hAnsi="Verdana"/>
                <w:sz w:val="18"/>
                <w:szCs w:val="18"/>
              </w:rPr>
              <w:t>[2018] IEHC 337 (Unreported, High Court, 14th May 2018)</w:t>
            </w:r>
          </w:p>
          <w:p w14:paraId="1E4C952E" w14:textId="65472E11" w:rsidR="006C1027" w:rsidRPr="00603E5B" w:rsidRDefault="006C1027" w:rsidP="0086568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B03CE64" w14:textId="664E8DF6" w:rsidR="00FD2BA9" w:rsidRPr="00CE5D87" w:rsidRDefault="00D84FDD" w:rsidP="00865680">
            <w:pPr>
              <w:tabs>
                <w:tab w:val="left" w:pos="1470"/>
              </w:tabs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AE620D">
              <w:rPr>
                <w:rFonts w:ascii="Verdana" w:hAnsi="Verdana"/>
                <w:sz w:val="18"/>
                <w:szCs w:val="18"/>
              </w:rPr>
              <w:lastRenderedPageBreak/>
              <w:t>C</w:t>
            </w:r>
            <w:r w:rsidR="00FD2BA9" w:rsidRPr="00AE620D">
              <w:rPr>
                <w:rFonts w:ascii="Verdana" w:hAnsi="Verdana"/>
                <w:sz w:val="18"/>
                <w:szCs w:val="18"/>
              </w:rPr>
              <w:t>ollateral challenges</w:t>
            </w:r>
            <w:r w:rsidR="00FA3AAF">
              <w:rPr>
                <w:rFonts w:ascii="Verdana" w:hAnsi="Verdana"/>
                <w:sz w:val="18"/>
                <w:szCs w:val="18"/>
              </w:rPr>
              <w:t xml:space="preserve"> – application of time limit </w:t>
            </w:r>
            <w:r w:rsidR="00B83A4B">
              <w:rPr>
                <w:rFonts w:ascii="Verdana" w:hAnsi="Verdana"/>
                <w:sz w:val="18"/>
                <w:szCs w:val="18"/>
              </w:rPr>
              <w:t xml:space="preserve">including </w:t>
            </w:r>
            <w:r w:rsidR="00FA3AAF">
              <w:rPr>
                <w:rFonts w:ascii="Verdana" w:hAnsi="Verdana"/>
                <w:sz w:val="18"/>
                <w:szCs w:val="18"/>
              </w:rPr>
              <w:t>in an EU law context</w:t>
            </w:r>
          </w:p>
        </w:tc>
      </w:tr>
    </w:tbl>
    <w:p w14:paraId="1184E20D" w14:textId="77777777" w:rsidR="00A73FBA" w:rsidRPr="00603E5B" w:rsidRDefault="00A73FBA" w:rsidP="0086568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3E87CA8E" w14:textId="4E2C942F" w:rsidR="00FD2BA9" w:rsidRPr="00603E5B" w:rsidRDefault="005B77F1" w:rsidP="00865680">
      <w:pPr>
        <w:pStyle w:val="Heading1"/>
      </w:pPr>
      <w:bookmarkStart w:id="4" w:name="_Toc183293708"/>
      <w:r>
        <w:t>A</w:t>
      </w:r>
      <w:r w:rsidR="00FD2BA9" w:rsidRPr="00603E5B">
        <w:t>dequacy of assessments</w:t>
      </w:r>
      <w:r>
        <w:t xml:space="preserve"> under EIA/habitats/birds directives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2BA9" w:rsidRPr="00603E5B" w14:paraId="1066D02D" w14:textId="77777777" w:rsidTr="00516346">
        <w:tc>
          <w:tcPr>
            <w:tcW w:w="4508" w:type="dxa"/>
          </w:tcPr>
          <w:p w14:paraId="7A728D50" w14:textId="77777777" w:rsidR="00FD2BA9" w:rsidRPr="00CF2249" w:rsidRDefault="00FD2BA9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F224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Case </w:t>
            </w:r>
          </w:p>
        </w:tc>
        <w:tc>
          <w:tcPr>
            <w:tcW w:w="4508" w:type="dxa"/>
          </w:tcPr>
          <w:p w14:paraId="17A42D34" w14:textId="77777777" w:rsidR="00FD2BA9" w:rsidRPr="00CF2249" w:rsidRDefault="00FD2BA9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F2249">
              <w:rPr>
                <w:rFonts w:ascii="Verdana" w:hAnsi="Verdana" w:cs="Arial"/>
                <w:b/>
                <w:bCs/>
                <w:sz w:val="18"/>
                <w:szCs w:val="18"/>
              </w:rPr>
              <w:t>Relevant issue</w:t>
            </w:r>
          </w:p>
        </w:tc>
      </w:tr>
      <w:tr w:rsidR="00FD2BA9" w:rsidRPr="00603E5B" w14:paraId="2E4CCCF9" w14:textId="77777777" w:rsidTr="00516346">
        <w:tc>
          <w:tcPr>
            <w:tcW w:w="4508" w:type="dxa"/>
          </w:tcPr>
          <w:p w14:paraId="5EF7F1A2" w14:textId="263F5BC7" w:rsidR="00FD2BA9" w:rsidRPr="00603E5B" w:rsidRDefault="005B77F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J</w:t>
            </w:r>
            <w:r w:rsidR="00FD2BA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udgment of 3 March 2011, </w:t>
            </w:r>
            <w:r w:rsidR="00FD2BA9"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Commission v Ireland</w:t>
            </w:r>
            <w:r w:rsidR="00FD2BA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, C-50/09, ECLI:EU:C:2011:109</w:t>
            </w:r>
          </w:p>
          <w:p w14:paraId="534D0F3C" w14:textId="77777777" w:rsidR="00FD2BA9" w:rsidRPr="00603E5B" w:rsidRDefault="00FD2BA9" w:rsidP="0086568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E4E562D" w14:textId="18AFF74B" w:rsidR="00FD2BA9" w:rsidRPr="00603E5B" w:rsidRDefault="00FC29B2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Requirements to be met for adequate </w:t>
            </w:r>
            <w:r w:rsidR="00FD2BA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EIA</w:t>
            </w:r>
            <w:r w:rsidR="001C2231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and</w:t>
            </w:r>
            <w:r w:rsidR="00FD2BA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AA </w:t>
            </w:r>
          </w:p>
        </w:tc>
      </w:tr>
      <w:tr w:rsidR="00FD2BA9" w:rsidRPr="00603E5B" w14:paraId="78E86198" w14:textId="77777777" w:rsidTr="00516346">
        <w:tc>
          <w:tcPr>
            <w:tcW w:w="4508" w:type="dxa"/>
          </w:tcPr>
          <w:p w14:paraId="0B905F52" w14:textId="0080EA9E" w:rsidR="00FD2BA9" w:rsidRPr="00603E5B" w:rsidRDefault="005B77F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J</w:t>
            </w:r>
            <w:r w:rsidR="00FD2BA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udgment of 7 November 2018, </w:t>
            </w:r>
            <w:r w:rsidR="00FD2BA9"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Coöperatie Mobilisation for the Environment UA and Vereniging Leefmilieu v College van gedeputeerde staten van Limburg and College van gedeputeerde staten van Gelderland</w:t>
            </w:r>
            <w:r w:rsidR="00FD2BA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, joined cases C-293/17 and C-294/17, ECLI:EU:C:2018:882</w:t>
            </w:r>
          </w:p>
          <w:p w14:paraId="53603104" w14:textId="3F69A4C0" w:rsidR="00FD2BA9" w:rsidRPr="00603E5B" w:rsidRDefault="00FD2BA9" w:rsidP="00865680">
            <w:pPr>
              <w:tabs>
                <w:tab w:val="left" w:pos="1320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C454803" w14:textId="4344EE0B" w:rsidR="004A288B" w:rsidRPr="00580D44" w:rsidRDefault="004A288B" w:rsidP="00865680">
            <w:pPr>
              <w:rPr>
                <w:rFonts w:ascii="Verdana" w:hAnsi="Verdana" w:cs="Arial"/>
                <w:sz w:val="18"/>
                <w:szCs w:val="18"/>
              </w:rPr>
            </w:pPr>
            <w:r w:rsidRPr="00580D44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Examination of AA in </w:t>
            </w:r>
            <w:r w:rsidR="00580D44" w:rsidRPr="00580D44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the national courts</w:t>
            </w:r>
          </w:p>
        </w:tc>
      </w:tr>
      <w:tr w:rsidR="00FD2BA9" w:rsidRPr="00603E5B" w14:paraId="03529FF0" w14:textId="77777777" w:rsidTr="00516346">
        <w:tc>
          <w:tcPr>
            <w:tcW w:w="4508" w:type="dxa"/>
          </w:tcPr>
          <w:p w14:paraId="2F837558" w14:textId="02E50F1B" w:rsidR="001C2231" w:rsidRDefault="00FD2BA9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R. (on the application of Wyatt) v. Fareham Borough Council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[2022] EWCA Civ 983, [2023] P.T.S.R. 1952, [2022], 7 W.L.U.K. 197, [2023] Env. L.R. 14</w:t>
            </w:r>
          </w:p>
          <w:p w14:paraId="1C0AD545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099DF13B" w14:textId="2881344F" w:rsidR="001C2231" w:rsidRDefault="0017265C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J</w:t>
            </w:r>
            <w:r w:rsidR="00FD2BA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udgment of 7 November 2018, </w:t>
            </w:r>
            <w:r w:rsidR="005336F2"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Olohan</w:t>
            </w:r>
            <w:r w:rsidR="00FD2BA9"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 xml:space="preserve"> v An Bord Pleanál</w:t>
            </w:r>
            <w:r w:rsidR="00FD2BA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a, C-461/17, ECLI:EU:C:2018:883</w:t>
            </w:r>
          </w:p>
          <w:p w14:paraId="4DE3CEFB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2BFC98ED" w14:textId="7FC088B3" w:rsidR="001C2231" w:rsidRDefault="00FD2BA9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R. (on the application of Champion) v. North Norfolk District Council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[2015] UKSC 52, [2015] 1 W.L.R. 3170</w:t>
            </w:r>
          </w:p>
          <w:p w14:paraId="01D1DE6F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4AA62CDF" w14:textId="64144E90" w:rsidR="006C1027" w:rsidRPr="00603E5B" w:rsidRDefault="00FD2BA9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 xml:space="preserve">Smyth v. Secretary of State for Communities and Local Government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[2015] EWCA Civ 174, [2015] P.T.S.R. 1417</w:t>
            </w:r>
          </w:p>
          <w:p w14:paraId="05F50181" w14:textId="49AB877F" w:rsidR="00FD2BA9" w:rsidRPr="00603E5B" w:rsidRDefault="00FD2BA9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34759F4" w14:textId="0DD58553" w:rsidR="00FD2BA9" w:rsidRPr="00CE4E4B" w:rsidRDefault="00FD2BA9" w:rsidP="00865680">
            <w:pPr>
              <w:rPr>
                <w:rFonts w:ascii="Verdana" w:hAnsi="Verdana" w:cs="Arial"/>
                <w:sz w:val="18"/>
                <w:szCs w:val="18"/>
              </w:rPr>
            </w:pPr>
            <w:r w:rsidRPr="00CE4E4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lastRenderedPageBreak/>
              <w:t>AA evaluation</w:t>
            </w:r>
            <w:r w:rsidR="00B72274" w:rsidRPr="00CE4E4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in the first instance</w:t>
            </w:r>
            <w:r w:rsidR="00FF37EE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is for the decision-maker</w:t>
            </w:r>
          </w:p>
        </w:tc>
      </w:tr>
      <w:tr w:rsidR="00FD2BA9" w:rsidRPr="00603E5B" w14:paraId="364442A4" w14:textId="77777777" w:rsidTr="00516346">
        <w:tc>
          <w:tcPr>
            <w:tcW w:w="4508" w:type="dxa"/>
          </w:tcPr>
          <w:p w14:paraId="2BDEA258" w14:textId="7A16C533" w:rsidR="00566345" w:rsidRDefault="00FD2BA9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An Taisce v. an Bord Pleanála &amp; Ors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.</w:t>
            </w: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[2022] IESC 8, [2022] 2 I.R. 173, [2022] 1 I.L.R.M. 281</w:t>
            </w:r>
          </w:p>
          <w:p w14:paraId="51A8876E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1F251746" w14:textId="56981C07" w:rsidR="00566345" w:rsidRDefault="00FD2BA9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Carrownagowan Concern Group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300 (Unreported, High Court, 20th May 2024)</w:t>
            </w:r>
          </w:p>
          <w:p w14:paraId="10B0B2AF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76F8AADE" w14:textId="6488216C" w:rsidR="00FD2BA9" w:rsidRPr="00603E5B" w:rsidRDefault="00FD2BA9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Nagle View Turbine Aware Group v. An Bord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 xml:space="preserve">Pleanála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[2024] IEHC 603 (Unreported, High Court, 1st November 2024)</w:t>
            </w:r>
          </w:p>
          <w:p w14:paraId="13CE79CE" w14:textId="62295FA6" w:rsidR="00FD2BA9" w:rsidRPr="00603E5B" w:rsidRDefault="00FD2BA9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3238F7A" w14:textId="385C7B69" w:rsidR="00FD2BA9" w:rsidRPr="00603E5B" w:rsidRDefault="00566345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O</w:t>
            </w:r>
            <w:r w:rsidR="00FD2BA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nus of proof</w:t>
            </w:r>
            <w:r w:rsidR="00FF37EE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to show </w:t>
            </w:r>
            <w:r w:rsidR="00B13A8E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defective AA/EIA</w:t>
            </w:r>
          </w:p>
        </w:tc>
      </w:tr>
      <w:tr w:rsidR="00FD2BA9" w:rsidRPr="00603E5B" w14:paraId="220A1D4D" w14:textId="77777777" w:rsidTr="00516346">
        <w:tc>
          <w:tcPr>
            <w:tcW w:w="4508" w:type="dxa"/>
          </w:tcPr>
          <w:p w14:paraId="0B9F583D" w14:textId="247824F7" w:rsidR="00FC6A01" w:rsidRDefault="00FD2BA9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Joyce Kemper v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[2020] IEHC 601 (Unreported, High Court, Allen J., 24th November 2020</w:t>
            </w:r>
            <w:r w:rsidR="00FC6A01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)</w:t>
            </w:r>
          </w:p>
          <w:p w14:paraId="1BF99A39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40A4DEF7" w14:textId="77777777" w:rsidR="00FD2BA9" w:rsidRDefault="00FD2BA9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Murphy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59 (Unreported, High Court, Bolger J., 6th February 2024)</w:t>
            </w:r>
          </w:p>
          <w:p w14:paraId="73BD6936" w14:textId="1C0D974D" w:rsidR="006C1027" w:rsidRPr="00603E5B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153AC6A" w14:textId="055A08A4" w:rsidR="00FD2BA9" w:rsidRPr="00603E5B" w:rsidRDefault="00566345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Discharging the onus of proof</w:t>
            </w:r>
            <w:r w:rsidR="00B13A8E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on mere assertion</w:t>
            </w:r>
          </w:p>
        </w:tc>
      </w:tr>
      <w:tr w:rsidR="00FD2BA9" w:rsidRPr="00603E5B" w14:paraId="7323C423" w14:textId="77777777" w:rsidTr="00516346">
        <w:tc>
          <w:tcPr>
            <w:tcW w:w="4508" w:type="dxa"/>
          </w:tcPr>
          <w:p w14:paraId="4A48AD6A" w14:textId="302EEB34" w:rsidR="00FC6A01" w:rsidRDefault="00FD2BA9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Harrington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[2014] IEHC 232, (Unreported, High Court, O’Neill J., 9th May 2014)</w:t>
            </w:r>
          </w:p>
          <w:p w14:paraId="7E2CCC4B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4A8440DD" w14:textId="1301EAB5" w:rsidR="00FC6A01" w:rsidRDefault="00FD2BA9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Murphy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59 (Unreported, High Court, Bolger J., 6th February 2024)</w:t>
            </w:r>
          </w:p>
          <w:p w14:paraId="648B9978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0F53B5FF" w14:textId="4B95D9CD" w:rsidR="00FC6A01" w:rsidRDefault="00FD2BA9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Power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108, (Unreported, High Court, Holland J., 28th February 2024)</w:t>
            </w:r>
          </w:p>
          <w:p w14:paraId="353C2AEE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014F3BFC" w14:textId="541FC5F7" w:rsidR="00FD2BA9" w:rsidRPr="00603E5B" w:rsidRDefault="00FD2BA9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Duffy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558 (Unreported, High Court, Holland J., 27th September 2024)</w:t>
            </w:r>
          </w:p>
          <w:p w14:paraId="7912CEB0" w14:textId="57BCE738" w:rsidR="00FD2BA9" w:rsidRPr="00603E5B" w:rsidRDefault="00FD2BA9" w:rsidP="00865680">
            <w:pPr>
              <w:tabs>
                <w:tab w:val="left" w:pos="324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1902D39" w14:textId="7C379AE4" w:rsidR="00FD2BA9" w:rsidRPr="00603E5B" w:rsidRDefault="005B77F1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Whether assertion establishes</w:t>
            </w:r>
            <w:r w:rsidR="008E5681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scientific doubt</w:t>
            </w:r>
            <w:r w:rsidR="00B13A8E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for AA purposes </w:t>
            </w: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D2BA9" w:rsidRPr="00603E5B" w14:paraId="6E9AA0EB" w14:textId="77777777" w:rsidTr="00516346">
        <w:tc>
          <w:tcPr>
            <w:tcW w:w="4508" w:type="dxa"/>
          </w:tcPr>
          <w:p w14:paraId="246E3A2E" w14:textId="4ED16237" w:rsidR="0017265C" w:rsidRDefault="0017265C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17265C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 xml:space="preserve">Environmental Trust Ireland v. An Bord Pleanála </w:t>
            </w:r>
            <w:r w:rsidRPr="0017265C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[2022] IEHC 540 (Unreported, High Court, Holland J., 3rd October 2022)</w:t>
            </w:r>
          </w:p>
          <w:p w14:paraId="1C2F18C0" w14:textId="77777777" w:rsidR="006C1027" w:rsidRPr="0017265C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1C214B23" w14:textId="51B1C287" w:rsidR="00FC6A01" w:rsidRDefault="00FD2BA9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Kennedy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570 (Unreported, High Court, 7th October 2024)</w:t>
            </w:r>
          </w:p>
          <w:p w14:paraId="7143D36B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29D1B133" w14:textId="2B809A1F" w:rsidR="0017265C" w:rsidRDefault="0017265C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17265C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 xml:space="preserve">Reid v. An Bord Pleanála (No. 2) </w:t>
            </w:r>
            <w:r w:rsidRPr="0017265C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[2021] IEHC 362 (Unreported, High Court, 27th May 2021)</w:t>
            </w:r>
          </w:p>
          <w:p w14:paraId="2EE31E24" w14:textId="77777777" w:rsidR="006C1027" w:rsidRPr="0017265C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  <w:p w14:paraId="184FBBD2" w14:textId="7FA5725F" w:rsidR="0017265C" w:rsidRDefault="0017265C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17265C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 xml:space="preserve">Madden v. An Bord </w:t>
            </w:r>
            <w:r w:rsidRPr="0017265C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Pleanála [2022] IEHC 257 (Unreported, High Court, Ferriter J. 4th May 2022)</w:t>
            </w:r>
          </w:p>
          <w:p w14:paraId="02C85C37" w14:textId="77777777" w:rsidR="006C1027" w:rsidRPr="0017265C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5EADC9D6" w14:textId="0921A1EC" w:rsidR="00FC6A01" w:rsidRDefault="00FD2BA9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Carrownagowan Concern Group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300 (Unreported, High Court, 20th May 2024)</w:t>
            </w:r>
          </w:p>
          <w:p w14:paraId="454A56A1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317B0AFD" w14:textId="6A4D9480" w:rsidR="00FD2BA9" w:rsidRDefault="00FD2BA9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An Taisce v. An Bord Pleanála (No. 2)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[2021] IEHC 422 (Unreported, High Court, 2nd July 2021)</w:t>
            </w:r>
          </w:p>
          <w:p w14:paraId="23421D77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30910232" w14:textId="77777777" w:rsidR="001A24B9" w:rsidRDefault="001A24B9" w:rsidP="00865680">
            <w:pPr>
              <w:tabs>
                <w:tab w:val="left" w:pos="132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O’Doherty and Waters v. The Minister for Health </w:t>
            </w:r>
            <w:r w:rsidRPr="00603E5B">
              <w:rPr>
                <w:rFonts w:ascii="Verdana" w:hAnsi="Verdana"/>
                <w:sz w:val="18"/>
                <w:szCs w:val="18"/>
              </w:rPr>
              <w:t>[2022] IESC 32, [2023] 2 I.R. 488, [2022] 1 I.L.R.M. 421</w:t>
            </w:r>
          </w:p>
          <w:p w14:paraId="3E286A27" w14:textId="58614BE6" w:rsidR="006C1027" w:rsidRPr="00603E5B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F7D2253" w14:textId="14C28DC1" w:rsidR="008D24E6" w:rsidRPr="00603E5B" w:rsidRDefault="008D24E6" w:rsidP="00865680">
            <w:pPr>
              <w:tabs>
                <w:tab w:val="left" w:pos="1605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="005B77F1">
              <w:rPr>
                <w:rFonts w:ascii="Verdana" w:hAnsi="Verdana" w:cs="Arial"/>
                <w:sz w:val="18"/>
                <w:szCs w:val="18"/>
              </w:rPr>
              <w:t>vidential requirements in judicial review; e</w:t>
            </w:r>
            <w:r>
              <w:rPr>
                <w:rFonts w:ascii="Verdana" w:hAnsi="Verdana" w:cs="Arial"/>
                <w:sz w:val="18"/>
                <w:szCs w:val="18"/>
              </w:rPr>
              <w:t xml:space="preserve">stablishing inadequate consideration or </w:t>
            </w:r>
            <w:r w:rsidR="00E212CF">
              <w:rPr>
                <w:rFonts w:ascii="Verdana" w:hAnsi="Verdana" w:cs="Arial"/>
                <w:sz w:val="18"/>
                <w:szCs w:val="18"/>
              </w:rPr>
              <w:t xml:space="preserve">a </w:t>
            </w:r>
            <w:r>
              <w:rPr>
                <w:rFonts w:ascii="Verdana" w:hAnsi="Verdana" w:cs="Arial"/>
                <w:sz w:val="18"/>
                <w:szCs w:val="18"/>
              </w:rPr>
              <w:t>failure to dispel scientific doubt</w:t>
            </w:r>
          </w:p>
        </w:tc>
      </w:tr>
      <w:tr w:rsidR="00FD2BA9" w:rsidRPr="00603E5B" w14:paraId="096F7D17" w14:textId="77777777" w:rsidTr="00516346">
        <w:tc>
          <w:tcPr>
            <w:tcW w:w="4508" w:type="dxa"/>
          </w:tcPr>
          <w:p w14:paraId="5622E6AB" w14:textId="72046785" w:rsidR="00FD2BA9" w:rsidRDefault="00FD2BA9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lastRenderedPageBreak/>
              <w:t xml:space="preserve">RAS Medical Ltd v. The Royal College of Surgeons in Ireland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[2019] IESC 4, [2019] 1 I.R. 63, [2019] 2 I.L.R.M. 273</w:t>
            </w:r>
          </w:p>
          <w:p w14:paraId="51D34ED3" w14:textId="56F3CCEE" w:rsidR="00FD2BA9" w:rsidRPr="00603E5B" w:rsidRDefault="00FD2BA9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283E831" w14:textId="4F7F771B" w:rsidR="00CB087A" w:rsidRPr="00603E5B" w:rsidRDefault="005B77F1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Resolving c</w:t>
            </w:r>
            <w:r w:rsidR="00CB087A">
              <w:rPr>
                <w:rFonts w:ascii="Verdana" w:hAnsi="Verdana" w:cs="Arial"/>
                <w:sz w:val="18"/>
                <w:szCs w:val="18"/>
              </w:rPr>
              <w:t xml:space="preserve">onflicting evidence </w:t>
            </w:r>
            <w:r w:rsidR="005428B9">
              <w:rPr>
                <w:rFonts w:ascii="Verdana" w:hAnsi="Verdana" w:cs="Arial"/>
                <w:sz w:val="18"/>
                <w:szCs w:val="18"/>
              </w:rPr>
              <w:t>in the absence of cross-examination</w:t>
            </w:r>
          </w:p>
        </w:tc>
      </w:tr>
      <w:tr w:rsidR="00FD2BA9" w:rsidRPr="00603E5B" w14:paraId="45AE4C90" w14:textId="77777777" w:rsidTr="00516346">
        <w:tc>
          <w:tcPr>
            <w:tcW w:w="4508" w:type="dxa"/>
          </w:tcPr>
          <w:p w14:paraId="26E7F5A2" w14:textId="3D46F46D" w:rsidR="0017265C" w:rsidRDefault="0017265C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J</w:t>
            </w:r>
            <w:r w:rsidRPr="0017265C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udgment of 15 June 2023, Eco Advocacy CLG v An Bord Pleanála, C-721/21, ECLI:EU:C:2023:477</w:t>
            </w:r>
          </w:p>
          <w:p w14:paraId="7FB37C3E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75EF8C98" w14:textId="661BD216" w:rsidR="00CB087A" w:rsidRDefault="005B77F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O</w:t>
            </w:r>
            <w:r w:rsidR="00FD2BA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pinion of Advocate General Kokott of 29 January 2004 in </w:t>
            </w:r>
            <w:r w:rsidR="00FD2BA9"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Landelijke Vereniging tot Behoud van de Waddenzee and Nederlandse Vereniging tot Bescherming van Vogels v Staatssecretaris van Landbouw, Natuurbeheer en Visserij</w:t>
            </w:r>
          </w:p>
          <w:p w14:paraId="12B87C02" w14:textId="77777777" w:rsidR="006C1027" w:rsidRPr="0024753F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15573F30" w14:textId="3C63CDC8" w:rsidR="00CB087A" w:rsidRDefault="005B77F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J</w:t>
            </w:r>
            <w:r w:rsidR="00FD2BA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udgment of 7 November 2018, </w:t>
            </w:r>
            <w:r w:rsidR="00FD2BA9"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Holohan v An Bord Pleanál</w:t>
            </w:r>
            <w:r w:rsidR="00FD2BA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a, C-461/17, ECLI:EU:C:2018:883</w:t>
            </w:r>
          </w:p>
          <w:p w14:paraId="48526BA1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1F7C3B8F" w14:textId="5BDA3923" w:rsidR="005B77F1" w:rsidRDefault="00FD2BA9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Heather Hill Management Company CLG v. An Bord Pleanála </w:t>
            </w:r>
            <w:r w:rsidRPr="00603E5B">
              <w:rPr>
                <w:rFonts w:ascii="Verdana" w:hAnsi="Verdana"/>
                <w:sz w:val="18"/>
                <w:szCs w:val="18"/>
              </w:rPr>
              <w:t>[2022] IEHC 146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(Unreported, High Court, </w:t>
            </w:r>
            <w:r w:rsidR="00CB087A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Holland J.,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16th March 2022)</w:t>
            </w:r>
          </w:p>
          <w:p w14:paraId="76CA68A3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23939086" w14:textId="77777777" w:rsidR="00FD2BA9" w:rsidRDefault="00FD2BA9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R Mynydd Y Gwynt Ltd v The Secretary of State for Business, Energy and Industrial Strategy</w:t>
            </w:r>
            <w:r w:rsidRPr="00603E5B" w:rsidDel="00B0302C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[2016] EWHC 2581 (Admin), [2016] 10 W.L.U.K. 396, [2017] Env. L.R. 14</w:t>
            </w:r>
          </w:p>
          <w:p w14:paraId="512C299C" w14:textId="3A13AA62" w:rsidR="006C1027" w:rsidRPr="00603E5B" w:rsidRDefault="006C1027" w:rsidP="00865680">
            <w:pPr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6452522" w14:textId="69DE3FFF" w:rsidR="00FD2BA9" w:rsidRPr="00A36CF3" w:rsidRDefault="00A36CF3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Standard for</w:t>
            </w:r>
            <w:r w:rsidR="00461BFC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the</w:t>
            </w:r>
            <w:r w:rsidR="00EB3CB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decision-maker </w:t>
            </w: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carrying out AA</w:t>
            </w:r>
            <w:r w:rsidR="00461BFC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, requirements to be fulfilled for adequate AA</w:t>
            </w:r>
          </w:p>
        </w:tc>
      </w:tr>
      <w:tr w:rsidR="00FD2BA9" w:rsidRPr="00603E5B" w14:paraId="727DEF43" w14:textId="77777777" w:rsidTr="00516346">
        <w:tc>
          <w:tcPr>
            <w:tcW w:w="4508" w:type="dxa"/>
          </w:tcPr>
          <w:p w14:paraId="670BCA9A" w14:textId="5DCED87E" w:rsidR="0000340E" w:rsidRDefault="005B77F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J</w:t>
            </w:r>
            <w:r w:rsidR="0000340E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udgment</w:t>
            </w:r>
            <w:r w:rsidR="0000340E" w:rsidRPr="0000340E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of 7 September 2004</w:t>
            </w:r>
            <w:r w:rsidR="0000340E" w:rsidRPr="0000340E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, Landelijke Vereniging tot Behoud van de Waddenzee and Nederlandse Vereniging tot Bescherming van Vogels v Staatssecretaris van Landbouw, Natuurbeheer en Visserij</w:t>
            </w:r>
            <w:r w:rsidR="0000340E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8B75CD" w:rsidRPr="008B75CD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C-127/02</w:t>
            </w:r>
            <w:r w:rsidR="008B75CD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8B75CD" w:rsidRPr="008B75CD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ECLI:EU:C:2004:482</w:t>
            </w:r>
          </w:p>
          <w:p w14:paraId="50C26530" w14:textId="77777777" w:rsidR="006C1027" w:rsidRPr="0000340E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063095C6" w14:textId="63543F60" w:rsidR="00CF2249" w:rsidRDefault="005B77F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O</w:t>
            </w:r>
            <w:r w:rsidR="00CF224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pinion of Advocate General Kokott of 29 January 2004 in </w:t>
            </w:r>
            <w:r w:rsidR="00CF2249"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Landelijke Vereniging tot Behoud van de Waddenzee and Nederlandse Vereniging tot Bescherming van Vogels v Staatssecretaris van Landbouw, Natuurbeheer en Visserij</w:t>
            </w:r>
          </w:p>
          <w:p w14:paraId="23F446E9" w14:textId="77777777" w:rsidR="006C1027" w:rsidRDefault="006C1027" w:rsidP="00865680">
            <w:pPr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  <w:p w14:paraId="31A657E6" w14:textId="32102B67" w:rsidR="00FD2BA9" w:rsidRDefault="005B77F1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J</w:t>
            </w:r>
            <w:r w:rsidR="00CF224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udgment of 7 November 2018, </w:t>
            </w:r>
            <w:r w:rsidR="00CF2249"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Holohan v An Bord Pleanál</w:t>
            </w:r>
            <w:r w:rsidR="00CF224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a, C-461/17, ECLI:EU:C:2018:883</w:t>
            </w:r>
          </w:p>
          <w:p w14:paraId="5E8C1668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7B59157F" w14:textId="77777777" w:rsidR="00CF2249" w:rsidRDefault="00CF2249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R. (on the application of Champion) v. North Norfolk District Council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[2015] UKSC 52, [2015] 1 W.L.R. 3170</w:t>
            </w:r>
          </w:p>
          <w:p w14:paraId="2A79B05E" w14:textId="0DA68D36" w:rsidR="006C1027" w:rsidRPr="00CF2249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96FD653" w14:textId="53EA4008" w:rsidR="00FD2BA9" w:rsidRPr="00603E5B" w:rsidRDefault="00461BFC" w:rsidP="00865680">
            <w:pPr>
              <w:tabs>
                <w:tab w:val="left" w:pos="1320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Meaning of a</w:t>
            </w:r>
            <w:r w:rsidR="00FD2BA9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bsence of reasonable doubt</w:t>
            </w:r>
          </w:p>
        </w:tc>
      </w:tr>
    </w:tbl>
    <w:p w14:paraId="4BB8B278" w14:textId="77777777" w:rsidR="00A73FBA" w:rsidRPr="00603E5B" w:rsidRDefault="00A73FBA" w:rsidP="0086568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E61CA41" w14:textId="1207637B" w:rsidR="00FD2BA9" w:rsidRPr="00F931B5" w:rsidRDefault="005B77F1" w:rsidP="00865680">
      <w:pPr>
        <w:pStyle w:val="Heading1"/>
      </w:pPr>
      <w:bookmarkStart w:id="5" w:name="_Toc183293709"/>
      <w:r>
        <w:t>Other s</w:t>
      </w:r>
      <w:r w:rsidR="00FD2BA9" w:rsidRPr="00F931B5">
        <w:t>pecific grounds of challenge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2BA9" w:rsidRPr="00603E5B" w14:paraId="03C1FE07" w14:textId="77777777" w:rsidTr="00516346">
        <w:tc>
          <w:tcPr>
            <w:tcW w:w="4508" w:type="dxa"/>
          </w:tcPr>
          <w:p w14:paraId="358F796C" w14:textId="77777777" w:rsidR="00FD2BA9" w:rsidRPr="00CF2249" w:rsidRDefault="00FD2BA9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F224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Case </w:t>
            </w:r>
          </w:p>
        </w:tc>
        <w:tc>
          <w:tcPr>
            <w:tcW w:w="4508" w:type="dxa"/>
          </w:tcPr>
          <w:p w14:paraId="5C31F648" w14:textId="77777777" w:rsidR="00FD2BA9" w:rsidRPr="00CF2249" w:rsidRDefault="00FD2BA9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F2249">
              <w:rPr>
                <w:rFonts w:ascii="Verdana" w:hAnsi="Verdana" w:cs="Arial"/>
                <w:b/>
                <w:bCs/>
                <w:sz w:val="18"/>
                <w:szCs w:val="18"/>
              </w:rPr>
              <w:t>Relevant issue</w:t>
            </w:r>
          </w:p>
        </w:tc>
      </w:tr>
      <w:tr w:rsidR="00FD2BA9" w:rsidRPr="00603E5B" w14:paraId="0898F254" w14:textId="77777777" w:rsidTr="00516346">
        <w:tc>
          <w:tcPr>
            <w:tcW w:w="4508" w:type="dxa"/>
          </w:tcPr>
          <w:p w14:paraId="4F566B7B" w14:textId="00A411AB" w:rsidR="00A36CF3" w:rsidRDefault="00BD2491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Sherwin v. An Bord Pleanála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[2024] IESC 13 (Unreported, Supreme Court, </w:t>
            </w:r>
            <w:r w:rsidR="00322946">
              <w:rPr>
                <w:rFonts w:ascii="Verdana" w:hAnsi="Verdana"/>
                <w:sz w:val="18"/>
                <w:szCs w:val="18"/>
              </w:rPr>
              <w:t xml:space="preserve">Woulfe J., </w:t>
            </w:r>
            <w:r w:rsidRPr="00603E5B">
              <w:rPr>
                <w:rFonts w:ascii="Verdana" w:hAnsi="Verdana"/>
                <w:sz w:val="18"/>
                <w:szCs w:val="18"/>
              </w:rPr>
              <w:t>11th April 2024)</w:t>
            </w:r>
          </w:p>
          <w:p w14:paraId="43500ED7" w14:textId="77777777" w:rsidR="006C1027" w:rsidRDefault="006C1027" w:rsidP="008656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55C5292E" w14:textId="6640E1E1" w:rsidR="00A36CF3" w:rsidRDefault="00BD2491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Attorney General (McGarry) v. Sligo County Council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[1991] 1 I.R. 99, [1989] I.L.R.M. 768</w:t>
            </w:r>
            <w:r w:rsidR="006556B3">
              <w:rPr>
                <w:rFonts w:ascii="Verdana" w:hAnsi="Verdana"/>
                <w:sz w:val="18"/>
                <w:szCs w:val="18"/>
              </w:rPr>
              <w:t>;</w:t>
            </w:r>
          </w:p>
          <w:p w14:paraId="13E7E254" w14:textId="77777777" w:rsidR="00FD2BA9" w:rsidRDefault="00BD2491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Byrne v. Fingal County Council </w:t>
            </w:r>
            <w:r w:rsidRPr="00603E5B">
              <w:rPr>
                <w:rFonts w:ascii="Verdana" w:hAnsi="Verdana"/>
                <w:sz w:val="18"/>
                <w:szCs w:val="18"/>
              </w:rPr>
              <w:t>[2001] IEHC 141, [2001] 4 I.R. 565, [2002] 2 ILRM 321 (McKechnie J.)</w:t>
            </w:r>
          </w:p>
          <w:p w14:paraId="284E74E3" w14:textId="191BACE9" w:rsidR="006C1027" w:rsidRPr="00603E5B" w:rsidRDefault="006C1027" w:rsidP="0086568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CC251E4" w14:textId="1461179C" w:rsidR="00BD2491" w:rsidRPr="00603E5B" w:rsidRDefault="00BD2491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sz w:val="18"/>
                <w:szCs w:val="18"/>
              </w:rPr>
              <w:t xml:space="preserve">Departure from </w:t>
            </w:r>
            <w:r w:rsidR="00153302">
              <w:rPr>
                <w:rFonts w:ascii="Verdana" w:hAnsi="Verdana"/>
                <w:sz w:val="18"/>
                <w:szCs w:val="18"/>
              </w:rPr>
              <w:t>d</w:t>
            </w:r>
            <w:r w:rsidRPr="00603E5B">
              <w:rPr>
                <w:rFonts w:ascii="Verdana" w:hAnsi="Verdana"/>
                <w:sz w:val="18"/>
                <w:szCs w:val="18"/>
              </w:rPr>
              <w:t>evelopment plan</w:t>
            </w:r>
            <w:r w:rsidR="00C3605A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1D74F2">
              <w:rPr>
                <w:rFonts w:ascii="Verdana" w:hAnsi="Verdana"/>
                <w:sz w:val="18"/>
                <w:szCs w:val="18"/>
              </w:rPr>
              <w:t>level of interpretation</w:t>
            </w:r>
            <w:r w:rsidR="004F5F67">
              <w:rPr>
                <w:rFonts w:ascii="Verdana" w:hAnsi="Verdana"/>
                <w:sz w:val="18"/>
                <w:szCs w:val="18"/>
              </w:rPr>
              <w:t>,</w:t>
            </w:r>
            <w:r w:rsidR="00C3605A">
              <w:rPr>
                <w:rFonts w:ascii="Verdana" w:hAnsi="Verdana"/>
                <w:sz w:val="18"/>
                <w:szCs w:val="18"/>
              </w:rPr>
              <w:t xml:space="preserve"> engagement, </w:t>
            </w:r>
            <w:r w:rsidR="004F5F67">
              <w:rPr>
                <w:rFonts w:ascii="Verdana" w:hAnsi="Verdana"/>
                <w:sz w:val="18"/>
                <w:szCs w:val="18"/>
              </w:rPr>
              <w:t>reference to and application of the plan</w:t>
            </w:r>
            <w:r w:rsidR="00C3605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B77F1">
              <w:rPr>
                <w:rFonts w:ascii="Verdana" w:hAnsi="Verdana"/>
                <w:sz w:val="18"/>
                <w:szCs w:val="18"/>
              </w:rPr>
              <w:t>provisions</w:t>
            </w:r>
          </w:p>
          <w:p w14:paraId="64E6E2D5" w14:textId="25CC7710" w:rsidR="00FD2BA9" w:rsidRPr="00603E5B" w:rsidRDefault="00FD2BA9" w:rsidP="0086568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D2BA9" w:rsidRPr="00603E5B" w14:paraId="04289A97" w14:textId="77777777" w:rsidTr="00516346">
        <w:tc>
          <w:tcPr>
            <w:tcW w:w="4508" w:type="dxa"/>
          </w:tcPr>
          <w:p w14:paraId="07823CA1" w14:textId="3F05A9C4" w:rsidR="00BD2491" w:rsidRPr="00603E5B" w:rsidRDefault="00BD2491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lastRenderedPageBreak/>
              <w:t xml:space="preserve">Killegland Estates Ltd. v. Meath County Council </w:t>
            </w:r>
            <w:r w:rsidRPr="00603E5B">
              <w:rPr>
                <w:rFonts w:ascii="Verdana" w:hAnsi="Verdana"/>
                <w:sz w:val="18"/>
                <w:szCs w:val="18"/>
              </w:rPr>
              <w:t>[2023] IESC 39</w:t>
            </w:r>
            <w:r w:rsidR="00CC74E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/>
                <w:sz w:val="18"/>
                <w:szCs w:val="18"/>
              </w:rPr>
              <w:t>(Unreported, Supreme Court, 21st December 2021</w:t>
            </w:r>
            <w:r w:rsidR="00153302">
              <w:rPr>
                <w:rFonts w:ascii="Verdana" w:hAnsi="Verdana"/>
                <w:sz w:val="18"/>
                <w:szCs w:val="18"/>
              </w:rPr>
              <w:t>)</w:t>
            </w:r>
          </w:p>
          <w:p w14:paraId="6D93A1F6" w14:textId="77777777" w:rsidR="00FD2BA9" w:rsidRPr="00603E5B" w:rsidRDefault="00FD2BA9" w:rsidP="00865680">
            <w:pPr>
              <w:tabs>
                <w:tab w:val="left" w:pos="1320"/>
              </w:tabs>
              <w:ind w:firstLine="7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3B93B66" w14:textId="7DFC3D5D" w:rsidR="00FD2BA9" w:rsidRPr="00603E5B" w:rsidRDefault="00BD2491" w:rsidP="00865680">
            <w:pPr>
              <w:rPr>
                <w:rFonts w:ascii="Verdana" w:hAnsi="Verdana" w:cs="Arial"/>
                <w:sz w:val="18"/>
                <w:szCs w:val="18"/>
              </w:rPr>
            </w:pPr>
            <w:r w:rsidRPr="00603E5B">
              <w:rPr>
                <w:rFonts w:ascii="Verdana" w:hAnsi="Verdana"/>
                <w:sz w:val="18"/>
                <w:szCs w:val="18"/>
              </w:rPr>
              <w:t>Consistency with national standards</w:t>
            </w:r>
            <w:r w:rsidR="002E4F8A">
              <w:rPr>
                <w:rFonts w:ascii="Verdana" w:hAnsi="Verdana"/>
                <w:sz w:val="18"/>
                <w:szCs w:val="18"/>
              </w:rPr>
              <w:t xml:space="preserve"> – effect of precatory language</w:t>
            </w:r>
          </w:p>
        </w:tc>
      </w:tr>
      <w:tr w:rsidR="00FD2BA9" w:rsidRPr="00603E5B" w14:paraId="00282476" w14:textId="77777777" w:rsidTr="00516346">
        <w:tc>
          <w:tcPr>
            <w:tcW w:w="4508" w:type="dxa"/>
          </w:tcPr>
          <w:p w14:paraId="68757CAD" w14:textId="31467AD4" w:rsidR="00153302" w:rsidRDefault="00BD2491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G.K. v. Minister for Justice, Equality and Law Reform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[2002] 2 I.R. 418, [2002] 1 I.L.R.M. 401</w:t>
            </w:r>
          </w:p>
          <w:p w14:paraId="244862C7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5569D026" w14:textId="77777777" w:rsidR="00FD2BA9" w:rsidRDefault="00BD2491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Rana v</w:t>
            </w:r>
            <w:r w:rsidR="00153302"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 Minister for Justice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57F44">
              <w:rPr>
                <w:rFonts w:ascii="Verdana" w:hAnsi="Verdana"/>
                <w:sz w:val="18"/>
                <w:szCs w:val="18"/>
              </w:rPr>
              <w:t>[2024] IESC 46</w:t>
            </w:r>
            <w:r w:rsidR="00F57F44">
              <w:rPr>
                <w:rFonts w:ascii="Verdana" w:hAnsi="Verdana"/>
                <w:sz w:val="18"/>
                <w:szCs w:val="18"/>
              </w:rPr>
              <w:t xml:space="preserve"> (Unreported, Supreme Court, O’Malley J., </w:t>
            </w:r>
            <w:r w:rsidR="00D2253C">
              <w:rPr>
                <w:rFonts w:ascii="Verdana" w:hAnsi="Verdana"/>
                <w:sz w:val="18"/>
                <w:szCs w:val="18"/>
              </w:rPr>
              <w:t>18th October 2024)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82825FE" w14:textId="2D20E1D0" w:rsidR="006C1027" w:rsidRPr="00603E5B" w:rsidRDefault="006C1027" w:rsidP="00865680">
            <w:pPr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7465499" w14:textId="47A900F0" w:rsidR="00FD2BA9" w:rsidRPr="00603E5B" w:rsidRDefault="00BD2491" w:rsidP="00865680">
            <w:pPr>
              <w:tabs>
                <w:tab w:val="left" w:pos="2367"/>
              </w:tabs>
              <w:rPr>
                <w:rFonts w:ascii="Verdana" w:hAnsi="Verdana" w:cs="Arial"/>
                <w:sz w:val="18"/>
                <w:szCs w:val="18"/>
              </w:rPr>
            </w:pPr>
            <w:r w:rsidRPr="00603E5B">
              <w:rPr>
                <w:rFonts w:ascii="Verdana" w:hAnsi="Verdana"/>
                <w:sz w:val="18"/>
                <w:szCs w:val="18"/>
              </w:rPr>
              <w:t xml:space="preserve">Lack of </w:t>
            </w:r>
            <w:r w:rsidR="00D2253C">
              <w:rPr>
                <w:rFonts w:ascii="Verdana" w:hAnsi="Verdana"/>
                <w:sz w:val="18"/>
                <w:szCs w:val="18"/>
              </w:rPr>
              <w:t>c</w:t>
            </w:r>
            <w:r w:rsidRPr="00603E5B">
              <w:rPr>
                <w:rFonts w:ascii="Verdana" w:hAnsi="Verdana"/>
                <w:sz w:val="18"/>
                <w:szCs w:val="18"/>
              </w:rPr>
              <w:t>onsideration</w:t>
            </w:r>
            <w:r w:rsidR="00BF73F6">
              <w:rPr>
                <w:rFonts w:ascii="Verdana" w:hAnsi="Verdana"/>
                <w:sz w:val="18"/>
                <w:szCs w:val="18"/>
              </w:rPr>
              <w:t xml:space="preserve"> – where decision states that material has been considered</w:t>
            </w:r>
          </w:p>
        </w:tc>
      </w:tr>
      <w:tr w:rsidR="00153302" w:rsidRPr="00603E5B" w14:paraId="52722ACF" w14:textId="77777777" w:rsidTr="00516346">
        <w:tc>
          <w:tcPr>
            <w:tcW w:w="4508" w:type="dxa"/>
          </w:tcPr>
          <w:p w14:paraId="394A6458" w14:textId="77777777" w:rsidR="00093680" w:rsidRPr="00603E5B" w:rsidRDefault="00093680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An Taisce v. an Bord Pleanála &amp; Ors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.</w:t>
            </w: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[2022] IESC 8, [2022] 2 I.R. 173, [2022] 1 I.L.R.M. 281</w:t>
            </w:r>
          </w:p>
          <w:p w14:paraId="3F88272C" w14:textId="77777777" w:rsidR="00153302" w:rsidRPr="00603E5B" w:rsidRDefault="00153302" w:rsidP="008656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4508" w:type="dxa"/>
          </w:tcPr>
          <w:p w14:paraId="6553946E" w14:textId="0E492A11" w:rsidR="00153302" w:rsidRPr="00D2253C" w:rsidRDefault="00D2253C" w:rsidP="00865680">
            <w:pPr>
              <w:rPr>
                <w:rFonts w:ascii="Verdana" w:hAnsi="Verdana"/>
                <w:sz w:val="18"/>
                <w:szCs w:val="18"/>
              </w:rPr>
            </w:pPr>
            <w:r w:rsidRPr="00D2253C">
              <w:rPr>
                <w:rFonts w:ascii="Verdana" w:hAnsi="Verdana"/>
                <w:sz w:val="18"/>
                <w:szCs w:val="18"/>
              </w:rPr>
              <w:t>Lack of consideration of</w:t>
            </w:r>
            <w:r w:rsidR="00093680" w:rsidRPr="00D2253C">
              <w:rPr>
                <w:rFonts w:ascii="Verdana" w:hAnsi="Verdana"/>
                <w:sz w:val="18"/>
                <w:szCs w:val="18"/>
              </w:rPr>
              <w:t xml:space="preserve"> documents before the decision-maker</w:t>
            </w:r>
            <w:r w:rsidR="002A60C0">
              <w:rPr>
                <w:rFonts w:ascii="Verdana" w:hAnsi="Verdana"/>
                <w:sz w:val="18"/>
                <w:szCs w:val="18"/>
              </w:rPr>
              <w:t xml:space="preserve"> – matters considered for AA purposes</w:t>
            </w:r>
          </w:p>
        </w:tc>
      </w:tr>
      <w:tr w:rsidR="00FD2BA9" w:rsidRPr="00603E5B" w14:paraId="4684C529" w14:textId="77777777" w:rsidTr="00516346">
        <w:tc>
          <w:tcPr>
            <w:tcW w:w="4508" w:type="dxa"/>
          </w:tcPr>
          <w:p w14:paraId="0BDAA2AE" w14:textId="77E2E936" w:rsidR="00093680" w:rsidRDefault="00BD2491" w:rsidP="00865680">
            <w:pPr>
              <w:tabs>
                <w:tab w:val="left" w:pos="3495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O’Keefe v An Bord Pleanála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[1993] 1 I.R. 39, [1992] I.L.R.M. 237</w:t>
            </w:r>
          </w:p>
          <w:p w14:paraId="13A93244" w14:textId="77777777" w:rsidR="006C1027" w:rsidRDefault="006C1027" w:rsidP="00865680">
            <w:pPr>
              <w:tabs>
                <w:tab w:val="left" w:pos="3495"/>
              </w:tabs>
              <w:rPr>
                <w:rFonts w:ascii="Verdana" w:hAnsi="Verdana"/>
                <w:sz w:val="18"/>
                <w:szCs w:val="18"/>
              </w:rPr>
            </w:pPr>
          </w:p>
          <w:p w14:paraId="00D16A83" w14:textId="5719ABEC" w:rsidR="00093680" w:rsidRDefault="00BD2491" w:rsidP="00865680">
            <w:pPr>
              <w:tabs>
                <w:tab w:val="left" w:pos="3495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Faulkner v. Minister for Industry and Commerce </w:t>
            </w:r>
            <w:r w:rsidRPr="00603E5B">
              <w:rPr>
                <w:rFonts w:ascii="Verdana" w:hAnsi="Verdana"/>
                <w:sz w:val="18"/>
                <w:szCs w:val="18"/>
              </w:rPr>
              <w:t>1997 WJSC-SC 962 (Unreported, Supreme Court, 10th December 1996)</w:t>
            </w:r>
          </w:p>
          <w:p w14:paraId="02B66D17" w14:textId="77777777" w:rsidR="006C1027" w:rsidRDefault="006C1027" w:rsidP="00865680">
            <w:pPr>
              <w:tabs>
                <w:tab w:val="left" w:pos="3495"/>
              </w:tabs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78314391" w14:textId="77777777" w:rsidR="00FD2BA9" w:rsidRDefault="00BD2491" w:rsidP="00865680">
            <w:pPr>
              <w:tabs>
                <w:tab w:val="left" w:pos="3495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Oguekwe v. Minister for Justice, Equality and Law Reform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[2008] IESC 25, [2008] 3 I.R. 795</w:t>
            </w:r>
          </w:p>
          <w:p w14:paraId="17B36988" w14:textId="5200B94C" w:rsidR="006C1027" w:rsidRPr="00603E5B" w:rsidRDefault="006C1027" w:rsidP="00865680">
            <w:pPr>
              <w:tabs>
                <w:tab w:val="left" w:pos="3495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8E439A8" w14:textId="7B33682A" w:rsidR="00FD2BA9" w:rsidRPr="00603E5B" w:rsidRDefault="00541004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Extent of r</w:t>
            </w:r>
            <w:r w:rsidR="00BD2491" w:rsidRPr="00603E5B">
              <w:rPr>
                <w:rFonts w:ascii="Verdana" w:hAnsi="Verdana"/>
                <w:sz w:val="18"/>
                <w:szCs w:val="18"/>
              </w:rPr>
              <w:t>easons</w:t>
            </w:r>
            <w:r>
              <w:rPr>
                <w:rFonts w:ascii="Verdana" w:hAnsi="Verdana"/>
                <w:sz w:val="18"/>
                <w:szCs w:val="18"/>
              </w:rPr>
              <w:t xml:space="preserve"> to be given</w:t>
            </w:r>
            <w:r w:rsidR="001A6191">
              <w:rPr>
                <w:rFonts w:ascii="Verdana" w:hAnsi="Verdana"/>
                <w:sz w:val="18"/>
                <w:szCs w:val="18"/>
              </w:rPr>
              <w:t>, how reasons are to be understood in the context of the decision</w:t>
            </w:r>
          </w:p>
        </w:tc>
      </w:tr>
      <w:tr w:rsidR="00FD2BA9" w:rsidRPr="00603E5B" w14:paraId="4F4EF82C" w14:textId="77777777" w:rsidTr="00516346">
        <w:tc>
          <w:tcPr>
            <w:tcW w:w="4508" w:type="dxa"/>
          </w:tcPr>
          <w:p w14:paraId="7008017C" w14:textId="78A3AB51" w:rsidR="00BD2491" w:rsidRPr="00603E5B" w:rsidRDefault="00BD2491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Killegland Estates Ltd. v. Meath County Council </w:t>
            </w:r>
            <w:r w:rsidRPr="00603E5B">
              <w:rPr>
                <w:rFonts w:ascii="Verdana" w:hAnsi="Verdana"/>
                <w:sz w:val="18"/>
                <w:szCs w:val="18"/>
              </w:rPr>
              <w:t>[2023] IESC 39 (Unreported, Supreme Court, 21st December 2021</w:t>
            </w:r>
            <w:r w:rsidRPr="0090114A">
              <w:rPr>
                <w:rFonts w:ascii="Verdana" w:hAnsi="Verdana"/>
                <w:sz w:val="18"/>
                <w:szCs w:val="18"/>
              </w:rPr>
              <w:t>)</w:t>
            </w:r>
          </w:p>
          <w:p w14:paraId="6E8C9BA5" w14:textId="50D3378A" w:rsidR="00FD2BA9" w:rsidRPr="00603E5B" w:rsidRDefault="00FD2BA9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33BFC68" w14:textId="37CB69EF" w:rsidR="00FD2BA9" w:rsidRPr="00603E5B" w:rsidRDefault="00BD2491" w:rsidP="00865680">
            <w:pPr>
              <w:rPr>
                <w:rFonts w:ascii="Verdana" w:hAnsi="Verdana" w:cs="Arial"/>
                <w:sz w:val="18"/>
                <w:szCs w:val="18"/>
              </w:rPr>
            </w:pPr>
            <w:r w:rsidRPr="00603E5B">
              <w:rPr>
                <w:rFonts w:ascii="Verdana" w:hAnsi="Verdana"/>
                <w:sz w:val="18"/>
                <w:szCs w:val="18"/>
              </w:rPr>
              <w:t>Irrelevant considerations</w:t>
            </w:r>
            <w:r w:rsidR="009D016F">
              <w:rPr>
                <w:rFonts w:ascii="Verdana" w:hAnsi="Verdana"/>
                <w:sz w:val="18"/>
                <w:szCs w:val="18"/>
              </w:rPr>
              <w:t xml:space="preserve"> – materiality</w:t>
            </w:r>
          </w:p>
        </w:tc>
      </w:tr>
      <w:tr w:rsidR="00FD2BA9" w:rsidRPr="00603E5B" w14:paraId="218601AF" w14:textId="77777777" w:rsidTr="00516346">
        <w:tc>
          <w:tcPr>
            <w:tcW w:w="4508" w:type="dxa"/>
          </w:tcPr>
          <w:p w14:paraId="58A6953F" w14:textId="77777777" w:rsidR="00FD2BA9" w:rsidRDefault="00541004" w:rsidP="00865680">
            <w:pPr>
              <w:tabs>
                <w:tab w:val="left" w:pos="324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Rana v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 Minister for Justice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57F44">
              <w:rPr>
                <w:rFonts w:ascii="Verdana" w:hAnsi="Verdana"/>
                <w:sz w:val="18"/>
                <w:szCs w:val="18"/>
              </w:rPr>
              <w:t>[2024] IESC 46</w:t>
            </w:r>
            <w:r>
              <w:rPr>
                <w:rFonts w:ascii="Verdana" w:hAnsi="Verdana"/>
                <w:sz w:val="18"/>
                <w:szCs w:val="18"/>
              </w:rPr>
              <w:t xml:space="preserve"> (Unreported, Supreme Court, O’Malley J., 18th October 2024)</w:t>
            </w:r>
          </w:p>
          <w:p w14:paraId="709678BE" w14:textId="0F826EE7" w:rsidR="006C1027" w:rsidRPr="00603E5B" w:rsidRDefault="006C1027" w:rsidP="00865680">
            <w:pPr>
              <w:tabs>
                <w:tab w:val="left" w:pos="324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7A2F461" w14:textId="5A1B8197" w:rsidR="00E83239" w:rsidRPr="005B31E9" w:rsidRDefault="005B31E9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Approach to</w:t>
            </w:r>
            <w:r w:rsidR="00E83239" w:rsidRPr="005B31E9">
              <w:rPr>
                <w:rFonts w:ascii="Verdana" w:hAnsi="Verdana" w:cs="Arial"/>
                <w:sz w:val="18"/>
                <w:szCs w:val="18"/>
              </w:rPr>
              <w:t xml:space="preserve"> previous findings</w:t>
            </w:r>
            <w:r w:rsidR="009D016F">
              <w:rPr>
                <w:rFonts w:ascii="Verdana" w:hAnsi="Verdana" w:cs="Arial"/>
                <w:sz w:val="18"/>
                <w:szCs w:val="18"/>
              </w:rPr>
              <w:t xml:space="preserve"> – onus to displace</w:t>
            </w:r>
          </w:p>
        </w:tc>
      </w:tr>
      <w:tr w:rsidR="00FD2BA9" w:rsidRPr="00603E5B" w14:paraId="0B587065" w14:textId="77777777" w:rsidTr="00516346">
        <w:tc>
          <w:tcPr>
            <w:tcW w:w="4508" w:type="dxa"/>
          </w:tcPr>
          <w:p w14:paraId="2CFB6540" w14:textId="1F06943E" w:rsidR="00FD2BA9" w:rsidRPr="00603E5B" w:rsidRDefault="00BD2491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Rawson v. Minister for Defence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[2012] IESC 26 (Unreported, Supreme Court, 1st May 2012)</w:t>
            </w:r>
          </w:p>
        </w:tc>
        <w:tc>
          <w:tcPr>
            <w:tcW w:w="4508" w:type="dxa"/>
          </w:tcPr>
          <w:p w14:paraId="1FA4D9F5" w14:textId="6BA29ABE" w:rsidR="00FD2BA9" w:rsidRDefault="005B77F1" w:rsidP="00865680">
            <w:pPr>
              <w:tabs>
                <w:tab w:val="left" w:pos="160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Whether a</w:t>
            </w:r>
            <w:r w:rsidR="001A6191">
              <w:rPr>
                <w:rFonts w:ascii="Verdana" w:hAnsi="Verdana"/>
                <w:sz w:val="18"/>
                <w:szCs w:val="18"/>
              </w:rPr>
              <w:t>pplicant</w:t>
            </w:r>
            <w:r>
              <w:rPr>
                <w:rFonts w:ascii="Verdana" w:hAnsi="Verdana"/>
                <w:sz w:val="18"/>
                <w:szCs w:val="18"/>
              </w:rPr>
              <w:t xml:space="preserve"> has a </w:t>
            </w:r>
            <w:r w:rsidR="001A6191">
              <w:rPr>
                <w:rFonts w:ascii="Verdana" w:hAnsi="Verdana"/>
                <w:sz w:val="18"/>
                <w:szCs w:val="18"/>
              </w:rPr>
              <w:t>l</w:t>
            </w:r>
            <w:r w:rsidR="00BD2491" w:rsidRPr="00DB554D">
              <w:rPr>
                <w:rFonts w:ascii="Verdana" w:hAnsi="Verdana"/>
                <w:sz w:val="18"/>
                <w:szCs w:val="18"/>
              </w:rPr>
              <w:t>egal entitlement to a discursive narrative decision addressing all submissions</w:t>
            </w:r>
          </w:p>
          <w:p w14:paraId="43681773" w14:textId="53655A23" w:rsidR="005B31E9" w:rsidRPr="00603E5B" w:rsidRDefault="005B31E9" w:rsidP="00865680">
            <w:pPr>
              <w:tabs>
                <w:tab w:val="left" w:pos="1605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D2BA9" w:rsidRPr="00603E5B" w14:paraId="5737EE14" w14:textId="77777777" w:rsidTr="00516346">
        <w:tc>
          <w:tcPr>
            <w:tcW w:w="4508" w:type="dxa"/>
          </w:tcPr>
          <w:p w14:paraId="03292ED3" w14:textId="77777777" w:rsidR="00FD2BA9" w:rsidRDefault="00322946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Sherwin v. An Bord Pleanála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[2024] IESC 13 (Unreported, Supreme Court, </w:t>
            </w:r>
            <w:r>
              <w:rPr>
                <w:rFonts w:ascii="Verdana" w:hAnsi="Verdana"/>
                <w:sz w:val="18"/>
                <w:szCs w:val="18"/>
              </w:rPr>
              <w:t xml:space="preserve">Woulfe J., </w:t>
            </w:r>
            <w:r w:rsidRPr="00603E5B">
              <w:rPr>
                <w:rFonts w:ascii="Verdana" w:hAnsi="Verdana"/>
                <w:sz w:val="18"/>
                <w:szCs w:val="18"/>
              </w:rPr>
              <w:t>11th April 2024)</w:t>
            </w:r>
          </w:p>
          <w:p w14:paraId="5ADC8F75" w14:textId="4D366BC4" w:rsidR="006C1027" w:rsidRPr="00322946" w:rsidRDefault="006C1027" w:rsidP="008656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4508" w:type="dxa"/>
          </w:tcPr>
          <w:p w14:paraId="5A786141" w14:textId="76E197FE" w:rsidR="00FD2BA9" w:rsidRPr="00DB554D" w:rsidRDefault="00BD2491" w:rsidP="00865680">
            <w:pPr>
              <w:tabs>
                <w:tab w:val="left" w:pos="1140"/>
              </w:tabs>
              <w:rPr>
                <w:rFonts w:ascii="Verdana" w:hAnsi="Verdana" w:cs="Arial"/>
                <w:sz w:val="18"/>
                <w:szCs w:val="18"/>
              </w:rPr>
            </w:pPr>
            <w:r w:rsidRPr="00DB554D">
              <w:rPr>
                <w:rFonts w:ascii="Verdana" w:hAnsi="Verdana"/>
                <w:sz w:val="18"/>
                <w:szCs w:val="18"/>
              </w:rPr>
              <w:t>R</w:t>
            </w:r>
            <w:r w:rsidR="00E072BF">
              <w:rPr>
                <w:rFonts w:ascii="Verdana" w:hAnsi="Verdana"/>
                <w:sz w:val="18"/>
                <w:szCs w:val="18"/>
              </w:rPr>
              <w:t xml:space="preserve">eliance on </w:t>
            </w:r>
            <w:r w:rsidR="00101F69">
              <w:rPr>
                <w:rFonts w:ascii="Verdana" w:hAnsi="Verdana"/>
                <w:sz w:val="18"/>
                <w:szCs w:val="18"/>
              </w:rPr>
              <w:t xml:space="preserve">reasons in the </w:t>
            </w:r>
            <w:r w:rsidRPr="00DB554D">
              <w:rPr>
                <w:rFonts w:ascii="Verdana" w:hAnsi="Verdana"/>
                <w:sz w:val="18"/>
                <w:szCs w:val="18"/>
              </w:rPr>
              <w:t>inspectors</w:t>
            </w:r>
            <w:r w:rsidR="00E072BF">
              <w:rPr>
                <w:rFonts w:ascii="Verdana" w:hAnsi="Verdana"/>
                <w:sz w:val="18"/>
                <w:szCs w:val="18"/>
              </w:rPr>
              <w:t>’</w:t>
            </w:r>
            <w:r w:rsidRPr="00DB554D">
              <w:rPr>
                <w:rFonts w:ascii="Verdana" w:hAnsi="Verdana"/>
                <w:sz w:val="18"/>
                <w:szCs w:val="18"/>
              </w:rPr>
              <w:t xml:space="preserve"> report</w:t>
            </w:r>
          </w:p>
        </w:tc>
      </w:tr>
      <w:tr w:rsidR="00FD2BA9" w:rsidRPr="00603E5B" w14:paraId="4EC32599" w14:textId="77777777" w:rsidTr="00516346">
        <w:tc>
          <w:tcPr>
            <w:tcW w:w="4508" w:type="dxa"/>
          </w:tcPr>
          <w:p w14:paraId="41861877" w14:textId="35886689" w:rsidR="00FD2BA9" w:rsidRPr="006C1027" w:rsidRDefault="00BD2491" w:rsidP="00865680">
            <w:pPr>
              <w:tabs>
                <w:tab w:val="left" w:pos="132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Killegland Estates Ltd. v. Meath County Council 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[2023] IESC 39 (Unreported, Supreme Court, </w:t>
            </w:r>
            <w:r w:rsidR="005B3A67">
              <w:rPr>
                <w:rFonts w:ascii="Verdana" w:hAnsi="Verdana"/>
                <w:sz w:val="18"/>
                <w:szCs w:val="18"/>
              </w:rPr>
              <w:t xml:space="preserve">Hogan J., </w:t>
            </w:r>
            <w:r w:rsidRPr="00603E5B">
              <w:rPr>
                <w:rFonts w:ascii="Verdana" w:hAnsi="Verdana"/>
                <w:sz w:val="18"/>
                <w:szCs w:val="18"/>
              </w:rPr>
              <w:t>21st December 2021</w:t>
            </w:r>
            <w:r w:rsidR="006C1027">
              <w:rPr>
                <w:rFonts w:ascii="Verdana" w:hAnsi="Verdana"/>
                <w:sz w:val="18"/>
                <w:szCs w:val="18"/>
              </w:rPr>
              <w:t>)</w:t>
            </w:r>
          </w:p>
          <w:p w14:paraId="21217690" w14:textId="1D01C44C" w:rsidR="006C1027" w:rsidRPr="00603E5B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BCE2737" w14:textId="03F54830" w:rsidR="00FD2BA9" w:rsidRPr="00D418DC" w:rsidRDefault="005B77F1" w:rsidP="00865680">
            <w:pPr>
              <w:tabs>
                <w:tab w:val="left" w:pos="2730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Whether r</w:t>
            </w:r>
            <w:r w:rsidR="00BD2491" w:rsidRPr="00D418DC">
              <w:rPr>
                <w:rFonts w:ascii="Verdana" w:hAnsi="Verdana"/>
                <w:sz w:val="18"/>
                <w:szCs w:val="18"/>
              </w:rPr>
              <w:t xml:space="preserve">easons </w:t>
            </w:r>
            <w:r>
              <w:rPr>
                <w:rFonts w:ascii="Verdana" w:hAnsi="Verdana"/>
                <w:sz w:val="18"/>
                <w:szCs w:val="18"/>
              </w:rPr>
              <w:t>are</w:t>
            </w:r>
            <w:r w:rsidR="00BD2491" w:rsidRPr="00D418DC">
              <w:rPr>
                <w:rFonts w:ascii="Verdana" w:hAnsi="Verdana"/>
                <w:sz w:val="18"/>
                <w:szCs w:val="18"/>
              </w:rPr>
              <w:t xml:space="preserve"> in doubt</w:t>
            </w:r>
          </w:p>
        </w:tc>
      </w:tr>
      <w:tr w:rsidR="00FD2BA9" w:rsidRPr="00603E5B" w14:paraId="57D8403C" w14:textId="77777777" w:rsidTr="00516346">
        <w:tc>
          <w:tcPr>
            <w:tcW w:w="4508" w:type="dxa"/>
          </w:tcPr>
          <w:p w14:paraId="3D0B6D5A" w14:textId="5C6DE62A" w:rsidR="00BD2491" w:rsidRPr="00603E5B" w:rsidRDefault="00BD2491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McGarrell Reilly Homes Limited &amp; Anor. v. Meath County Council</w:t>
            </w:r>
            <w:r w:rsidRPr="00603E5B" w:rsidDel="0051115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/>
                <w:sz w:val="18"/>
                <w:szCs w:val="18"/>
              </w:rPr>
              <w:t>[2023] IESC 40</w:t>
            </w:r>
            <w:r w:rsidRPr="00603E5B" w:rsidDel="0051115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/>
                <w:sz w:val="18"/>
                <w:szCs w:val="18"/>
              </w:rPr>
              <w:t>(Unreported, Supreme Court, 21st December 2023)</w:t>
            </w:r>
          </w:p>
          <w:p w14:paraId="4AE1BC66" w14:textId="7A6EDD19" w:rsidR="00FD2BA9" w:rsidRPr="00603E5B" w:rsidRDefault="00FD2BA9" w:rsidP="00865680">
            <w:pPr>
              <w:tabs>
                <w:tab w:val="left" w:pos="3555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1056A9F" w14:textId="2564B9F9" w:rsidR="00FD2BA9" w:rsidRPr="00603E5B" w:rsidRDefault="00BD2491" w:rsidP="00865680">
            <w:pPr>
              <w:tabs>
                <w:tab w:val="left" w:pos="1320"/>
              </w:tabs>
              <w:rPr>
                <w:rFonts w:ascii="Verdana" w:hAnsi="Verdana" w:cs="Arial"/>
                <w:sz w:val="18"/>
                <w:szCs w:val="18"/>
              </w:rPr>
            </w:pPr>
            <w:r w:rsidRPr="00D418DC">
              <w:rPr>
                <w:rFonts w:ascii="Verdana" w:hAnsi="Verdana"/>
                <w:sz w:val="18"/>
                <w:szCs w:val="18"/>
              </w:rPr>
              <w:t>Sufficiency in general terms to allow person affected to know the reasons</w:t>
            </w:r>
          </w:p>
        </w:tc>
      </w:tr>
    </w:tbl>
    <w:p w14:paraId="295FCF39" w14:textId="77777777" w:rsidR="00603E5B" w:rsidRPr="005B77F1" w:rsidRDefault="00603E5B" w:rsidP="00865680">
      <w:pPr>
        <w:spacing w:after="0" w:line="240" w:lineRule="auto"/>
      </w:pPr>
    </w:p>
    <w:p w14:paraId="20DDE9DE" w14:textId="328160D6" w:rsidR="00B1043F" w:rsidRPr="00F931B5" w:rsidRDefault="005B77F1" w:rsidP="00865680">
      <w:pPr>
        <w:pStyle w:val="Heading1"/>
      </w:pPr>
      <w:bookmarkStart w:id="6" w:name="_Toc183293710"/>
      <w:r>
        <w:t>C</w:t>
      </w:r>
      <w:r w:rsidR="00B1043F" w:rsidRPr="00F931B5">
        <w:t xml:space="preserve">limate </w:t>
      </w:r>
      <w:r>
        <w:t>issues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2491" w:rsidRPr="00603E5B" w14:paraId="022039B1" w14:textId="77777777" w:rsidTr="00516346">
        <w:tc>
          <w:tcPr>
            <w:tcW w:w="4508" w:type="dxa"/>
          </w:tcPr>
          <w:p w14:paraId="2D6D3804" w14:textId="77777777" w:rsidR="00BD2491" w:rsidRPr="007D4CC8" w:rsidRDefault="00BD2491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D4CC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Case </w:t>
            </w:r>
          </w:p>
        </w:tc>
        <w:tc>
          <w:tcPr>
            <w:tcW w:w="4508" w:type="dxa"/>
          </w:tcPr>
          <w:p w14:paraId="520AC479" w14:textId="77777777" w:rsidR="00BD2491" w:rsidRPr="007D4CC8" w:rsidRDefault="00BD2491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D4CC8">
              <w:rPr>
                <w:rFonts w:ascii="Verdana" w:hAnsi="Verdana" w:cs="Arial"/>
                <w:b/>
                <w:bCs/>
                <w:sz w:val="18"/>
                <w:szCs w:val="18"/>
              </w:rPr>
              <w:t>Relevant issue</w:t>
            </w:r>
          </w:p>
        </w:tc>
      </w:tr>
      <w:tr w:rsidR="00BD2491" w:rsidRPr="00603E5B" w14:paraId="3DB7ED40" w14:textId="77777777" w:rsidTr="00516346">
        <w:tc>
          <w:tcPr>
            <w:tcW w:w="4508" w:type="dxa"/>
          </w:tcPr>
          <w:p w14:paraId="67A297D9" w14:textId="4CD277B3" w:rsidR="005B3A67" w:rsidRDefault="00B1043F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Friends of the Irish Environment v. Government of Ireland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[2020] IESC 49, [2021] 3 I.R. 1, [2020] 2 I.L.R.M. 233</w:t>
            </w:r>
          </w:p>
          <w:p w14:paraId="5E77A077" w14:textId="77777777" w:rsidR="006C1027" w:rsidRDefault="006C1027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79C8B3E2" w14:textId="2E53EB8B" w:rsidR="00B1043F" w:rsidRPr="00603E5B" w:rsidRDefault="00B1043F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Verein Klimaseniorinnen Schweiz and Others v Switzerland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(</w:t>
            </w:r>
            <w:r w:rsidR="005B77F1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ECtHR,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9 April 2024, App. no. 53600/20)</w:t>
            </w:r>
          </w:p>
          <w:p w14:paraId="2951E5B6" w14:textId="2B443B9C" w:rsidR="00BD2491" w:rsidRPr="00603E5B" w:rsidRDefault="00BD2491" w:rsidP="0086568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EA2FC5B" w14:textId="650FF28E" w:rsidR="00BD2491" w:rsidRPr="005B3A67" w:rsidRDefault="007D4CC8" w:rsidP="00865680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7D4CC8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Impact of the climate emergency</w:t>
            </w:r>
          </w:p>
        </w:tc>
      </w:tr>
      <w:tr w:rsidR="00BD2491" w:rsidRPr="00603E5B" w14:paraId="2111AD50" w14:textId="77777777" w:rsidTr="00516346">
        <w:tc>
          <w:tcPr>
            <w:tcW w:w="4508" w:type="dxa"/>
          </w:tcPr>
          <w:p w14:paraId="53BF75CC" w14:textId="3E81913E" w:rsidR="00B1043F" w:rsidRPr="00603E5B" w:rsidRDefault="00C4509F" w:rsidP="008656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lastRenderedPageBreak/>
              <w:t>Planning and Development Act 2000</w:t>
            </w:r>
            <w:r w:rsidR="007841D2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7841D2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ss. 37(2)(b), 37N(4), 143(1)</w:t>
            </w:r>
          </w:p>
          <w:p w14:paraId="5800B5CE" w14:textId="77777777" w:rsidR="00BD2491" w:rsidRPr="00603E5B" w:rsidRDefault="00BD2491" w:rsidP="00865680">
            <w:pPr>
              <w:tabs>
                <w:tab w:val="left" w:pos="1320"/>
              </w:tabs>
              <w:ind w:firstLine="7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E4B7D46" w14:textId="6986F486" w:rsidR="00BD2491" w:rsidRPr="00603E5B" w:rsidRDefault="005B3A67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Relevancy of government policy on the planning process</w:t>
            </w:r>
          </w:p>
        </w:tc>
      </w:tr>
      <w:tr w:rsidR="00BD2491" w:rsidRPr="00603E5B" w14:paraId="5A5931AC" w14:textId="77777777" w:rsidTr="00516346">
        <w:tc>
          <w:tcPr>
            <w:tcW w:w="4508" w:type="dxa"/>
          </w:tcPr>
          <w:p w14:paraId="314CF550" w14:textId="795FB32F" w:rsidR="00B1043F" w:rsidRPr="00603E5B" w:rsidRDefault="00B1043F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Toole v. Minister for Housing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(II)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610 (Unreported, High Court, 1st November 2024)</w:t>
            </w:r>
          </w:p>
          <w:p w14:paraId="389BCDB6" w14:textId="77777777" w:rsidR="00BD2491" w:rsidRPr="00603E5B" w:rsidRDefault="00BD2491" w:rsidP="00865680">
            <w:pPr>
              <w:tabs>
                <w:tab w:val="left" w:pos="2835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C2FA1A6" w14:textId="0FA08F09" w:rsidR="00BD2491" w:rsidRPr="00C4509F" w:rsidRDefault="00B1043F" w:rsidP="00865680">
            <w:pPr>
              <w:tabs>
                <w:tab w:val="left" w:pos="1875"/>
              </w:tabs>
              <w:rPr>
                <w:rFonts w:ascii="Verdana" w:hAnsi="Verdana" w:cs="Arial"/>
                <w:sz w:val="18"/>
                <w:szCs w:val="18"/>
              </w:rPr>
            </w:pPr>
            <w:r w:rsidRPr="00C4509F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Government policy </w:t>
            </w:r>
            <w:r w:rsidR="00C4509F" w:rsidRPr="00C4509F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re:</w:t>
            </w:r>
            <w:r w:rsidRPr="00C4509F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substitution of renewable energy for fossil fuel consumption</w:t>
            </w:r>
          </w:p>
        </w:tc>
      </w:tr>
      <w:tr w:rsidR="00BD2491" w:rsidRPr="00603E5B" w14:paraId="0BBC5886" w14:textId="77777777" w:rsidTr="00516346">
        <w:tc>
          <w:tcPr>
            <w:tcW w:w="4508" w:type="dxa"/>
          </w:tcPr>
          <w:p w14:paraId="1E759A76" w14:textId="77777777" w:rsidR="00BD2491" w:rsidRDefault="00DB323F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Planning and Development Act 2000</w:t>
            </w:r>
            <w:r w:rsidR="007841D2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7841D2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s. 143(1)(c)</w:t>
            </w:r>
          </w:p>
          <w:p w14:paraId="2AD3818E" w14:textId="5AC7B8DF" w:rsidR="006C1027" w:rsidRPr="00DB323F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F1DF7E9" w14:textId="66E51B10" w:rsidR="00BD2491" w:rsidRPr="000E4CE7" w:rsidRDefault="00B1043F" w:rsidP="00865680">
            <w:pPr>
              <w:tabs>
                <w:tab w:val="left" w:pos="3105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National Planning Framework</w:t>
            </w:r>
            <w:r w:rsidR="000E4CE7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  <w:r w:rsidR="000E4CE7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must be considered by the board</w:t>
            </w:r>
          </w:p>
        </w:tc>
      </w:tr>
      <w:tr w:rsidR="00BD2491" w:rsidRPr="00603E5B" w14:paraId="634DCF0D" w14:textId="77777777" w:rsidTr="00516346">
        <w:tc>
          <w:tcPr>
            <w:tcW w:w="4508" w:type="dxa"/>
          </w:tcPr>
          <w:p w14:paraId="1D104A9D" w14:textId="77777777" w:rsidR="00BD2491" w:rsidRDefault="00B1043F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Directive 2009/28/EC of the European Parliament and of the Council of 23 April 2009 on the promotion of the use of energy from renewable sources and amending and subsequently repealing Directives 2001/77/EC and 2003/30/EC</w:t>
            </w:r>
          </w:p>
          <w:p w14:paraId="41701A17" w14:textId="1558124E" w:rsidR="006C1027" w:rsidRPr="00603E5B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4A5AF96" w14:textId="7B6EA9CA" w:rsidR="00BD2491" w:rsidRPr="00652ADE" w:rsidRDefault="00645072" w:rsidP="008656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M</w:t>
            </w:r>
            <w:r w:rsidR="00B1043F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andatory targets for the consumption of energy from renewable sources by member states</w:t>
            </w:r>
          </w:p>
        </w:tc>
      </w:tr>
      <w:tr w:rsidR="00BD2491" w:rsidRPr="00603E5B" w14:paraId="3490CA8B" w14:textId="77777777" w:rsidTr="00A42532">
        <w:tc>
          <w:tcPr>
            <w:tcW w:w="4508" w:type="dxa"/>
          </w:tcPr>
          <w:p w14:paraId="69681BB2" w14:textId="77777777" w:rsidR="00BD2491" w:rsidRDefault="00C4509F" w:rsidP="008656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 w:rsidR="00B1043F" w:rsidRPr="00603E5B">
              <w:rPr>
                <w:rFonts w:ascii="Verdana" w:hAnsi="Verdana"/>
                <w:sz w:val="18"/>
                <w:szCs w:val="18"/>
              </w:rPr>
              <w:t>limate Action and Low Carbon Development Act 201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="00AD447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AD4472" w:rsidRPr="00603E5B">
              <w:rPr>
                <w:rFonts w:ascii="Verdana" w:hAnsi="Verdana"/>
                <w:sz w:val="18"/>
                <w:szCs w:val="18"/>
              </w:rPr>
              <w:t>ss. 14B and 15</w:t>
            </w:r>
          </w:p>
          <w:p w14:paraId="0215EB0B" w14:textId="4511E5A9" w:rsidR="006C1027" w:rsidRPr="00645072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8" w:type="dxa"/>
            <w:shd w:val="clear" w:color="auto" w:fill="auto"/>
          </w:tcPr>
          <w:p w14:paraId="1DE6A691" w14:textId="51B77A42" w:rsidR="00BD2491" w:rsidRPr="00A42532" w:rsidRDefault="00A42532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B1043F" w:rsidRPr="00A42532">
              <w:rPr>
                <w:rFonts w:ascii="Verdana" w:hAnsi="Verdana"/>
                <w:sz w:val="18"/>
                <w:szCs w:val="18"/>
              </w:rPr>
              <w:t>uty on public bodies to act consistently with the legislation</w:t>
            </w:r>
          </w:p>
        </w:tc>
      </w:tr>
      <w:tr w:rsidR="00BD2491" w:rsidRPr="00603E5B" w14:paraId="0FD183BB" w14:textId="77777777" w:rsidTr="00516346">
        <w:tc>
          <w:tcPr>
            <w:tcW w:w="4508" w:type="dxa"/>
          </w:tcPr>
          <w:p w14:paraId="1C9E49EC" w14:textId="77777777" w:rsidR="00BD2491" w:rsidRDefault="00B1043F" w:rsidP="00865680">
            <w:pPr>
              <w:tabs>
                <w:tab w:val="left" w:pos="132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sz w:val="18"/>
                <w:szCs w:val="18"/>
              </w:rPr>
              <w:t>Regulation (EU) 2018/1999 of the European Parliament and of the Council of 11 December 2018 on the Governance of the Energy Union and Climate Action, amending Regulations (EC) No 663/2009 and (EC) No 715/2009 of the European Parliament and of the Council, Directives 94/22/EC, 98/70/EC, 2009/31/EC, 2009/73/EC, 2010/31/EU, 2012/27/EU and 2013/30/EU of the European Parliament and of the Council, Council Directives 2009/119/EC and (EU) 2015/652 and repealing Regulation (EU) No 525/2013 of the European Parliament and of the Council (the Governance Regulation)</w:t>
            </w:r>
          </w:p>
          <w:p w14:paraId="31B6F403" w14:textId="5F951461" w:rsidR="006C1027" w:rsidRPr="00603E5B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2BBF5CC" w14:textId="39F0D04E" w:rsidR="00BD2491" w:rsidRPr="00E60CA2" w:rsidRDefault="0064112E" w:rsidP="008656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Implementation of</w:t>
            </w:r>
            <w:r w:rsidR="00B1043F" w:rsidRPr="00603E5B">
              <w:rPr>
                <w:rFonts w:ascii="Verdana" w:hAnsi="Verdana"/>
                <w:sz w:val="18"/>
                <w:szCs w:val="18"/>
              </w:rPr>
              <w:t xml:space="preserve"> the Paris Agreement commitments</w:t>
            </w:r>
          </w:p>
        </w:tc>
      </w:tr>
      <w:tr w:rsidR="00BD2491" w:rsidRPr="00603E5B" w14:paraId="5D4A7210" w14:textId="77777777" w:rsidTr="00516346">
        <w:tc>
          <w:tcPr>
            <w:tcW w:w="4508" w:type="dxa"/>
          </w:tcPr>
          <w:p w14:paraId="6B796D8D" w14:textId="77777777" w:rsidR="00BD2491" w:rsidRDefault="00B1043F" w:rsidP="00865680">
            <w:pPr>
              <w:tabs>
                <w:tab w:val="left" w:pos="132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sz w:val="18"/>
                <w:szCs w:val="18"/>
              </w:rPr>
              <w:t>Regulation (EU) 2021/1119 of the European Parliament and of the Council of 30 June 2021 establishing the framework for achieving climate neutrality and amending Regulations (EC) No 401/2009 and (EU) 2018/1999 (the European Climate Law)</w:t>
            </w:r>
          </w:p>
          <w:p w14:paraId="73B750A2" w14:textId="30BCE8DF" w:rsidR="006C1027" w:rsidRPr="00603E5B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B600AF9" w14:textId="32614984" w:rsidR="00B1043F" w:rsidRPr="00603E5B" w:rsidRDefault="009674BE" w:rsidP="008656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</w:t>
            </w:r>
            <w:r w:rsidR="00B1043F" w:rsidRPr="00603E5B">
              <w:rPr>
                <w:rFonts w:ascii="Verdana" w:hAnsi="Verdana"/>
                <w:sz w:val="18"/>
                <w:szCs w:val="18"/>
              </w:rPr>
              <w:t>ramework for achieving climate neutrality</w:t>
            </w:r>
          </w:p>
          <w:p w14:paraId="5A9D3D6D" w14:textId="79F5846E" w:rsidR="00BD2491" w:rsidRPr="00603E5B" w:rsidRDefault="00BD2491" w:rsidP="00865680">
            <w:pPr>
              <w:tabs>
                <w:tab w:val="left" w:pos="1140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D2491" w:rsidRPr="00603E5B" w14:paraId="49FB9B22" w14:textId="77777777" w:rsidTr="00516346">
        <w:tc>
          <w:tcPr>
            <w:tcW w:w="4508" w:type="dxa"/>
          </w:tcPr>
          <w:p w14:paraId="5FFF92F3" w14:textId="77777777" w:rsidR="00BD2491" w:rsidRDefault="000D0970" w:rsidP="00865680">
            <w:pPr>
              <w:rPr>
                <w:rFonts w:ascii="Verdana" w:hAnsi="Verdana"/>
                <w:sz w:val="18"/>
                <w:szCs w:val="18"/>
              </w:rPr>
            </w:pPr>
            <w:r w:rsidRPr="000D0970">
              <w:rPr>
                <w:rFonts w:ascii="Verdana" w:hAnsi="Verdana"/>
                <w:sz w:val="18"/>
                <w:szCs w:val="18"/>
              </w:rPr>
              <w:t>Council Regulation (EU) 2022/2577 of 22 December 2022 laying down a framework to accelerate the deployment of renewable energ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0C06A622" w14:textId="7DBA967E" w:rsidR="006C1027" w:rsidRPr="000D0970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620236A" w14:textId="21F19C6F" w:rsidR="00BD2491" w:rsidRPr="00603E5B" w:rsidRDefault="009674BE" w:rsidP="00865680">
            <w:pPr>
              <w:tabs>
                <w:tab w:val="left" w:pos="2760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</w:t>
            </w:r>
            <w:r w:rsidR="00B1043F" w:rsidRPr="00603E5B">
              <w:rPr>
                <w:rFonts w:ascii="Verdana" w:hAnsi="Verdana"/>
                <w:sz w:val="18"/>
                <w:szCs w:val="18"/>
              </w:rPr>
              <w:t>ramework to accelerate the deployment of renewable energy</w:t>
            </w:r>
          </w:p>
        </w:tc>
      </w:tr>
      <w:tr w:rsidR="00BD2491" w:rsidRPr="00603E5B" w14:paraId="67DDA2B3" w14:textId="77777777" w:rsidTr="00516346">
        <w:tc>
          <w:tcPr>
            <w:tcW w:w="4508" w:type="dxa"/>
          </w:tcPr>
          <w:p w14:paraId="18E53670" w14:textId="3FC6ED62" w:rsidR="00BD2491" w:rsidRPr="00D57DFE" w:rsidRDefault="00634185" w:rsidP="00865680">
            <w:pPr>
              <w:tabs>
                <w:tab w:val="left" w:pos="3555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  <w:highlight w:val="yellow"/>
              </w:rPr>
            </w:pPr>
            <w:r w:rsidRPr="00AE20A4">
              <w:rPr>
                <w:rFonts w:ascii="Verdana" w:hAnsi="Verdana"/>
                <w:sz w:val="18"/>
                <w:szCs w:val="18"/>
              </w:rPr>
              <w:t>Council Regulation (EU) 2022/2577 of 22 December 2022</w:t>
            </w:r>
            <w:r w:rsidR="008E43C8">
              <w:rPr>
                <w:rFonts w:ascii="Verdana" w:hAnsi="Verdana"/>
                <w:sz w:val="18"/>
                <w:szCs w:val="18"/>
              </w:rPr>
              <w:t>, art. 3(1)</w:t>
            </w:r>
          </w:p>
        </w:tc>
        <w:tc>
          <w:tcPr>
            <w:tcW w:w="4508" w:type="dxa"/>
          </w:tcPr>
          <w:p w14:paraId="65DA309A" w14:textId="3E58D8B8" w:rsidR="00B1043F" w:rsidRPr="00603E5B" w:rsidRDefault="009674BE" w:rsidP="00865680">
            <w:pPr>
              <w:rPr>
                <w:rFonts w:ascii="Verdana" w:hAnsi="Verdana"/>
                <w:sz w:val="18"/>
                <w:szCs w:val="18"/>
              </w:rPr>
            </w:pPr>
            <w:r w:rsidRPr="00D418DC">
              <w:rPr>
                <w:rFonts w:ascii="Verdana" w:hAnsi="Verdana"/>
                <w:sz w:val="18"/>
                <w:szCs w:val="18"/>
              </w:rPr>
              <w:t>P</w:t>
            </w:r>
            <w:r w:rsidR="00B1043F" w:rsidRPr="00D418DC">
              <w:rPr>
                <w:rFonts w:ascii="Verdana" w:hAnsi="Verdana"/>
                <w:sz w:val="18"/>
                <w:szCs w:val="18"/>
              </w:rPr>
              <w:t>resumption of overriding public interest for renewable energy projects for the purpose of the birds, habitats and SEA directives, and provision is made for the acceleration of such projects</w:t>
            </w:r>
          </w:p>
          <w:p w14:paraId="2C6633CA" w14:textId="52E5E9F9" w:rsidR="00BD2491" w:rsidRPr="00603E5B" w:rsidRDefault="00BD2491" w:rsidP="00865680">
            <w:pPr>
              <w:tabs>
                <w:tab w:val="left" w:pos="1320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D2491" w:rsidRPr="00603E5B" w14:paraId="19564930" w14:textId="77777777" w:rsidTr="00516346">
        <w:tc>
          <w:tcPr>
            <w:tcW w:w="4508" w:type="dxa"/>
          </w:tcPr>
          <w:p w14:paraId="4B096979" w14:textId="77777777" w:rsidR="00BD2491" w:rsidRDefault="00B1043F" w:rsidP="00865680">
            <w:pPr>
              <w:tabs>
                <w:tab w:val="left" w:pos="300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Directive (EU) 2023/2413 of the European Parliament and of the Council of 18 October 2023 amending Directive (EU) 2018/2001, Regulation (EU) 2018/1999 and Directive 98/70/EC as regards the promotion of energy from renewable sources, and repealing Council Directive (EU) 2015/652</w:t>
            </w:r>
          </w:p>
          <w:p w14:paraId="3CB79075" w14:textId="42A2ECE9" w:rsidR="006C1027" w:rsidRPr="00603E5B" w:rsidRDefault="006C1027" w:rsidP="00865680">
            <w:pPr>
              <w:tabs>
                <w:tab w:val="left" w:pos="300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D2E4240" w14:textId="4BB287BB" w:rsidR="00B1043F" w:rsidRPr="00603E5B" w:rsidRDefault="00106806" w:rsidP="00865680">
            <w:pP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106806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P</w:t>
            </w:r>
            <w:r w:rsidR="00B1043F" w:rsidRPr="00106806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resumption of overriding public interest and for accelerated timelines including requiring judicial remedies to be the most expeditious available in national law</w:t>
            </w:r>
            <w:r w:rsidR="00B1043F"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692DB3C4" w14:textId="77777777" w:rsidR="00BD2491" w:rsidRPr="00603E5B" w:rsidRDefault="00BD2491" w:rsidP="00865680">
            <w:pPr>
              <w:tabs>
                <w:tab w:val="left" w:pos="1320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D2491" w:rsidRPr="00603E5B" w14:paraId="16544C8E" w14:textId="77777777" w:rsidTr="00516346">
        <w:tc>
          <w:tcPr>
            <w:tcW w:w="4508" w:type="dxa"/>
          </w:tcPr>
          <w:p w14:paraId="418BAFCF" w14:textId="77777777" w:rsidR="00BD2491" w:rsidRDefault="00B1043F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 xml:space="preserve">Verein Klimaseniorinnen Schweiz and Others v Switzerland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(9 April 2024, App. no. 53600/20)</w:t>
            </w:r>
          </w:p>
          <w:p w14:paraId="1E4267E4" w14:textId="67F4BCB1" w:rsidR="006C1027" w:rsidRPr="00603E5B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AD692B0" w14:textId="6EBFF37C" w:rsidR="003F21B4" w:rsidRDefault="003F21B4" w:rsidP="008656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Breach of arts. 8 and 6.1 of the ECHR</w:t>
            </w:r>
            <w:r w:rsidR="00D418DC">
              <w:rPr>
                <w:rFonts w:ascii="Verdana" w:hAnsi="Verdana"/>
                <w:sz w:val="18"/>
                <w:szCs w:val="18"/>
              </w:rPr>
              <w:t>;</w:t>
            </w:r>
          </w:p>
          <w:p w14:paraId="0292786F" w14:textId="3E3024E7" w:rsidR="0066686F" w:rsidRPr="00603E5B" w:rsidRDefault="0066686F" w:rsidP="008656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Relevant to domestic law via the </w:t>
            </w:r>
            <w:r w:rsidR="00166208">
              <w:rPr>
                <w:rFonts w:ascii="Verdana" w:hAnsi="Verdana"/>
                <w:sz w:val="18"/>
                <w:szCs w:val="18"/>
              </w:rPr>
              <w:t>European Convention on Human Rights</w:t>
            </w:r>
            <w:r>
              <w:rPr>
                <w:rFonts w:ascii="Verdana" w:hAnsi="Verdana"/>
                <w:sz w:val="18"/>
                <w:szCs w:val="18"/>
              </w:rPr>
              <w:t xml:space="preserve"> Act 2003</w:t>
            </w:r>
          </w:p>
          <w:p w14:paraId="74986B2B" w14:textId="77777777" w:rsidR="00BD2491" w:rsidRPr="00603E5B" w:rsidRDefault="00BD2491" w:rsidP="0086568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19AA967" w14:textId="77777777" w:rsidR="00603E5B" w:rsidRPr="005B77F1" w:rsidRDefault="00603E5B" w:rsidP="00865680">
      <w:pPr>
        <w:spacing w:after="0" w:line="240" w:lineRule="auto"/>
      </w:pPr>
    </w:p>
    <w:p w14:paraId="30A40DD4" w14:textId="6B35DF7A" w:rsidR="00B1043F" w:rsidRPr="00F931B5" w:rsidRDefault="00B1043F" w:rsidP="00865680">
      <w:pPr>
        <w:pStyle w:val="Heading1"/>
      </w:pPr>
      <w:bookmarkStart w:id="7" w:name="_Toc183293711"/>
      <w:r w:rsidRPr="00F931B5">
        <w:t>Judicial review</w:t>
      </w:r>
      <w:r w:rsidR="005B77F1">
        <w:t xml:space="preserve"> generally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043F" w:rsidRPr="00603E5B" w14:paraId="6938FA39" w14:textId="77777777" w:rsidTr="00516346">
        <w:tc>
          <w:tcPr>
            <w:tcW w:w="4508" w:type="dxa"/>
          </w:tcPr>
          <w:p w14:paraId="3906BA46" w14:textId="77777777" w:rsidR="00B1043F" w:rsidRPr="001360D1" w:rsidRDefault="00B1043F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360D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Case </w:t>
            </w:r>
          </w:p>
        </w:tc>
        <w:tc>
          <w:tcPr>
            <w:tcW w:w="4508" w:type="dxa"/>
          </w:tcPr>
          <w:p w14:paraId="5224CF7E" w14:textId="77777777" w:rsidR="00B1043F" w:rsidRPr="001360D1" w:rsidRDefault="00B1043F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360D1">
              <w:rPr>
                <w:rFonts w:ascii="Verdana" w:hAnsi="Verdana" w:cs="Arial"/>
                <w:b/>
                <w:bCs/>
                <w:sz w:val="18"/>
                <w:szCs w:val="18"/>
              </w:rPr>
              <w:t>Relevant issue</w:t>
            </w:r>
          </w:p>
        </w:tc>
      </w:tr>
      <w:tr w:rsidR="00B1043F" w:rsidRPr="00603E5B" w14:paraId="4D52AE11" w14:textId="77777777" w:rsidTr="00516346">
        <w:tc>
          <w:tcPr>
            <w:tcW w:w="4508" w:type="dxa"/>
          </w:tcPr>
          <w:p w14:paraId="4AF6D9FC" w14:textId="4146F760" w:rsidR="00FF5B24" w:rsidRDefault="00B1043F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In re Comhaltas Ceoltóirí Éireann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(Unreported, High Court,</w:t>
            </w:r>
            <w:r w:rsidR="00FF5B24">
              <w:rPr>
                <w:rFonts w:ascii="Verdana" w:hAnsi="Verdana"/>
                <w:sz w:val="18"/>
                <w:szCs w:val="18"/>
              </w:rPr>
              <w:t xml:space="preserve"> Finaly P.,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5th December 1977)</w:t>
            </w:r>
          </w:p>
          <w:p w14:paraId="24D81CBB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5679501A" w14:textId="7B156DAA" w:rsidR="00B1043F" w:rsidRPr="00603E5B" w:rsidRDefault="00B1043F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Campus Oil v. Minister for Industry and Energy (No. 2)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[1983] I.R. 88</w:t>
            </w:r>
          </w:p>
          <w:p w14:paraId="5876EC32" w14:textId="0702C7A5" w:rsidR="00B1043F" w:rsidRPr="00603E5B" w:rsidRDefault="00B1043F" w:rsidP="00865680">
            <w:pPr>
              <w:tabs>
                <w:tab w:val="left" w:pos="2865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5501C18" w14:textId="2DB42149" w:rsidR="00B1043F" w:rsidRPr="00FF5B24" w:rsidRDefault="009248D7" w:rsidP="008656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="00B1043F" w:rsidRPr="00603E5B">
              <w:rPr>
                <w:rFonts w:ascii="Verdana" w:hAnsi="Verdana"/>
                <w:sz w:val="18"/>
                <w:szCs w:val="18"/>
              </w:rPr>
              <w:t>resumption of validity for administrative decisions</w:t>
            </w:r>
          </w:p>
        </w:tc>
      </w:tr>
      <w:tr w:rsidR="00B1043F" w:rsidRPr="00603E5B" w14:paraId="5C016FD3" w14:textId="77777777" w:rsidTr="00516346">
        <w:tc>
          <w:tcPr>
            <w:tcW w:w="4508" w:type="dxa"/>
          </w:tcPr>
          <w:p w14:paraId="506DFE8D" w14:textId="6F411F8B" w:rsidR="00FF5B24" w:rsidRDefault="00B1043F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Sinnott v. Minister for Education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[2001] IESC 63, [2001] 2 I.R. 545</w:t>
            </w:r>
          </w:p>
          <w:p w14:paraId="63B1D390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6632B514" w14:textId="5A8D068C" w:rsidR="00B1043F" w:rsidRDefault="00B1043F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TD v. Minister for Education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[2001] IESC 101, [2001] 4 I.R. 259</w:t>
            </w:r>
          </w:p>
          <w:p w14:paraId="6F323012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69BC2AC5" w14:textId="72C1A932" w:rsidR="005B77F1" w:rsidRPr="00603E5B" w:rsidRDefault="005B77F1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National Federation of Independent Business v. Sebelius</w:t>
            </w:r>
            <w:r w:rsidRPr="00603E5B">
              <w:rPr>
                <w:rFonts w:ascii="Verdana" w:hAnsi="Verdana"/>
                <w:sz w:val="18"/>
                <w:szCs w:val="18"/>
              </w:rPr>
              <w:t>, 567 U.S. 519 (2012)</w:t>
            </w:r>
          </w:p>
          <w:p w14:paraId="4D633D85" w14:textId="77777777" w:rsidR="00B1043F" w:rsidRPr="00603E5B" w:rsidRDefault="00B1043F" w:rsidP="00865680">
            <w:pPr>
              <w:tabs>
                <w:tab w:val="left" w:pos="1320"/>
              </w:tabs>
              <w:ind w:firstLine="7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33BE65D" w14:textId="033415E5" w:rsidR="00B1043F" w:rsidRPr="00603E5B" w:rsidRDefault="00FF5B24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Separation of powers</w:t>
            </w:r>
          </w:p>
        </w:tc>
      </w:tr>
      <w:tr w:rsidR="00B1043F" w:rsidRPr="00603E5B" w14:paraId="050D947D" w14:textId="77777777" w:rsidTr="00516346">
        <w:tc>
          <w:tcPr>
            <w:tcW w:w="4508" w:type="dxa"/>
          </w:tcPr>
          <w:p w14:paraId="50582A2A" w14:textId="30640CE9" w:rsidR="00FF5B24" w:rsidRDefault="00B1043F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State (Keegan) v. Stardust Compensation Tribunal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[1986] I.R. 642</w:t>
            </w:r>
          </w:p>
          <w:p w14:paraId="6CDC4168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01B63C6D" w14:textId="09501267" w:rsidR="00FF5B24" w:rsidRDefault="00B1043F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Meadows v. Minister for Justice, Equality and Law Reform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[2010] IESC 3, [2010] 2 I.R. 701</w:t>
            </w:r>
          </w:p>
          <w:p w14:paraId="41FE7493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6831C16A" w14:textId="5FDE9F08" w:rsidR="00FF5B24" w:rsidRDefault="00B1043F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R (Cart) v. Upper Tribunal </w:t>
            </w:r>
            <w:r w:rsidRPr="00603E5B">
              <w:rPr>
                <w:rFonts w:ascii="Verdana" w:hAnsi="Verdana"/>
                <w:sz w:val="18"/>
                <w:szCs w:val="18"/>
              </w:rPr>
              <w:t>[2011] UKSC 28, [2012] 1 AC 663</w:t>
            </w:r>
          </w:p>
          <w:p w14:paraId="5F0A70DF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441F91F9" w14:textId="4166196B" w:rsidR="00B1043F" w:rsidRPr="00603E5B" w:rsidRDefault="00B1043F" w:rsidP="00865680">
            <w:pPr>
              <w:rPr>
                <w:rFonts w:ascii="Verdana" w:hAnsi="Verdana"/>
                <w:sz w:val="18"/>
                <w:szCs w:val="18"/>
              </w:rPr>
            </w:pPr>
            <w:r w:rsidRPr="0066686F">
              <w:rPr>
                <w:rFonts w:ascii="Verdana" w:hAnsi="Verdana"/>
                <w:i/>
                <w:iCs/>
                <w:sz w:val="18"/>
                <w:szCs w:val="18"/>
              </w:rPr>
              <w:t>Sweeney v. Fahy</w:t>
            </w:r>
            <w:r w:rsidRPr="0066686F">
              <w:rPr>
                <w:rFonts w:ascii="Verdana" w:hAnsi="Verdana"/>
                <w:sz w:val="18"/>
                <w:szCs w:val="18"/>
              </w:rPr>
              <w:t xml:space="preserve"> [2014] IESC 50 (Unreported, Supreme Court, 31st July 2014)</w:t>
            </w:r>
          </w:p>
          <w:p w14:paraId="1BFBADA7" w14:textId="7DDABE0E" w:rsidR="00B1043F" w:rsidRPr="00603E5B" w:rsidRDefault="00B1043F" w:rsidP="00865680">
            <w:pPr>
              <w:tabs>
                <w:tab w:val="left" w:pos="3495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B0A4BDF" w14:textId="2BA874E7" w:rsidR="00B1043F" w:rsidRPr="009248D7" w:rsidRDefault="009248D7" w:rsidP="00865680">
            <w:pPr>
              <w:rPr>
                <w:rFonts w:ascii="Verdana" w:hAnsi="Verdana" w:cs="Arial"/>
                <w:sz w:val="18"/>
                <w:szCs w:val="18"/>
              </w:rPr>
            </w:pPr>
            <w:r w:rsidRPr="009248D7">
              <w:rPr>
                <w:rFonts w:ascii="Verdana" w:hAnsi="Verdana"/>
                <w:sz w:val="18"/>
                <w:szCs w:val="18"/>
              </w:rPr>
              <w:t>Nature of judicial review, role of the court</w:t>
            </w:r>
          </w:p>
        </w:tc>
      </w:tr>
      <w:tr w:rsidR="00B1043F" w:rsidRPr="00603E5B" w14:paraId="4B70BDCB" w14:textId="77777777" w:rsidTr="00516346">
        <w:tc>
          <w:tcPr>
            <w:tcW w:w="4508" w:type="dxa"/>
          </w:tcPr>
          <w:p w14:paraId="3D843031" w14:textId="085A3061" w:rsidR="00B1043F" w:rsidRPr="00603E5B" w:rsidRDefault="00B1043F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M.E. v. Refugee Appeals Tribunal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[2008] IEHC 192 (Unreported, High Court, 27th June 2008)</w:t>
            </w:r>
          </w:p>
          <w:p w14:paraId="7506373B" w14:textId="4BBA1F10" w:rsidR="00B1043F" w:rsidRPr="00603E5B" w:rsidRDefault="00B1043F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D9515C4" w14:textId="743D3A69" w:rsidR="00B1043F" w:rsidRPr="00603E5B" w:rsidRDefault="007D4713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Weighing evidence</w:t>
            </w:r>
            <w:r w:rsidR="00C61075">
              <w:rPr>
                <w:rFonts w:ascii="Verdana" w:hAnsi="Verdana"/>
                <w:sz w:val="18"/>
                <w:szCs w:val="18"/>
              </w:rPr>
              <w:t>, evaluative conclusions</w:t>
            </w:r>
          </w:p>
        </w:tc>
      </w:tr>
      <w:tr w:rsidR="00B1043F" w:rsidRPr="00603E5B" w14:paraId="2B339492" w14:textId="77777777" w:rsidTr="00516346">
        <w:tc>
          <w:tcPr>
            <w:tcW w:w="4508" w:type="dxa"/>
          </w:tcPr>
          <w:p w14:paraId="44E0EADB" w14:textId="7A87D6C9" w:rsidR="007D4713" w:rsidRDefault="00B1043F" w:rsidP="00865680">
            <w:pPr>
              <w:tabs>
                <w:tab w:val="left" w:pos="324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Meadows v. Minister for Justice, Equality and Law Reform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[2010] IESC 3, [2010] 2 I.R. 701</w:t>
            </w:r>
          </w:p>
          <w:p w14:paraId="6087C620" w14:textId="77777777" w:rsidR="006C1027" w:rsidRDefault="006C1027" w:rsidP="00865680">
            <w:pPr>
              <w:tabs>
                <w:tab w:val="left" w:pos="3240"/>
              </w:tabs>
              <w:rPr>
                <w:rFonts w:ascii="Verdana" w:hAnsi="Verdana"/>
                <w:sz w:val="18"/>
                <w:szCs w:val="18"/>
              </w:rPr>
            </w:pPr>
          </w:p>
          <w:p w14:paraId="3F3F4BB8" w14:textId="4847D7E7" w:rsidR="007D4713" w:rsidRDefault="00B1043F" w:rsidP="00865680">
            <w:pPr>
              <w:tabs>
                <w:tab w:val="left" w:pos="324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Cork County Council v. Minister for Housing, Local Government and Heritage (No. 1)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[2021] IEHC 683 (Unreported, High Court, 5th November 2021)</w:t>
            </w:r>
          </w:p>
          <w:p w14:paraId="50DF4D20" w14:textId="77777777" w:rsidR="006C1027" w:rsidRDefault="006C1027" w:rsidP="00865680">
            <w:pPr>
              <w:tabs>
                <w:tab w:val="left" w:pos="324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2DD75A50" w14:textId="07328E91" w:rsidR="007D4713" w:rsidRDefault="00B1043F" w:rsidP="00865680">
            <w:pPr>
              <w:tabs>
                <w:tab w:val="left" w:pos="324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Monkstown Road Residents Association v. An Bord Pleanála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[2022] IEHC 318 (Unreported, High Court, </w:t>
            </w:r>
            <w:r w:rsidR="007D4713">
              <w:rPr>
                <w:rFonts w:ascii="Verdana" w:hAnsi="Verdana"/>
                <w:sz w:val="18"/>
                <w:szCs w:val="18"/>
              </w:rPr>
              <w:t xml:space="preserve">Holland J., </w:t>
            </w:r>
            <w:r w:rsidRPr="00603E5B">
              <w:rPr>
                <w:rFonts w:ascii="Verdana" w:hAnsi="Verdana"/>
                <w:sz w:val="18"/>
                <w:szCs w:val="18"/>
              </w:rPr>
              <w:t>31st May 2022)</w:t>
            </w:r>
          </w:p>
          <w:p w14:paraId="5F2BF624" w14:textId="77777777" w:rsidR="006C1027" w:rsidRDefault="006C1027" w:rsidP="00865680">
            <w:pPr>
              <w:tabs>
                <w:tab w:val="left" w:pos="3240"/>
              </w:tabs>
              <w:rPr>
                <w:rFonts w:ascii="Verdana" w:hAnsi="Verdana"/>
                <w:sz w:val="18"/>
                <w:szCs w:val="18"/>
              </w:rPr>
            </w:pPr>
          </w:p>
          <w:p w14:paraId="7C39D750" w14:textId="77777777" w:rsidR="00B1043F" w:rsidRDefault="00B1043F" w:rsidP="00865680">
            <w:pPr>
              <w:tabs>
                <w:tab w:val="left" w:pos="324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Sherwin v. An Bord Pleanála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[2023] IEHC 26</w:t>
            </w:r>
            <w:r w:rsidR="00CC74E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/>
                <w:sz w:val="18"/>
                <w:szCs w:val="18"/>
              </w:rPr>
              <w:t>(Unreported, High Court, 27th January 2023)</w:t>
            </w:r>
          </w:p>
          <w:p w14:paraId="61ECEDBB" w14:textId="09249EC9" w:rsidR="006C1027" w:rsidRPr="00603E5B" w:rsidRDefault="006C1027" w:rsidP="00865680">
            <w:pPr>
              <w:tabs>
                <w:tab w:val="left" w:pos="324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968F95F" w14:textId="0CED050B" w:rsidR="00B1043F" w:rsidRPr="00603E5B" w:rsidRDefault="007D4713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Onus</w:t>
            </w:r>
            <w:r w:rsidR="00B1043F" w:rsidRPr="00603E5B">
              <w:rPr>
                <w:rFonts w:ascii="Verdana" w:hAnsi="Verdana"/>
                <w:sz w:val="18"/>
                <w:szCs w:val="18"/>
              </w:rPr>
              <w:t xml:space="preserve"> of proof</w:t>
            </w:r>
          </w:p>
        </w:tc>
      </w:tr>
      <w:tr w:rsidR="00B1043F" w:rsidRPr="00603E5B" w14:paraId="5A01C38F" w14:textId="77777777" w:rsidTr="00516346">
        <w:tc>
          <w:tcPr>
            <w:tcW w:w="4508" w:type="dxa"/>
          </w:tcPr>
          <w:p w14:paraId="5E9F6F9C" w14:textId="77777777" w:rsidR="00B1043F" w:rsidRDefault="00B1043F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O’Doherty and Waters v. The Minister for Health </w:t>
            </w:r>
            <w:r w:rsidRPr="00603E5B">
              <w:rPr>
                <w:rFonts w:ascii="Verdana" w:hAnsi="Verdana"/>
                <w:sz w:val="18"/>
                <w:szCs w:val="18"/>
              </w:rPr>
              <w:t>[2022] IESC 32, [2023] 2 I.R. 488, [2022] 1 I.L.R.M. 421</w:t>
            </w:r>
          </w:p>
          <w:p w14:paraId="74D75D75" w14:textId="452FBE63" w:rsidR="006C1027" w:rsidRPr="00603E5B" w:rsidRDefault="006C1027" w:rsidP="00865680">
            <w:pPr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BE5CD4D" w14:textId="6229DE61" w:rsidR="00B1043F" w:rsidRPr="00603E5B" w:rsidRDefault="00865F6B" w:rsidP="00865680">
            <w:pPr>
              <w:tabs>
                <w:tab w:val="left" w:pos="1605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Onus of proof when</w:t>
            </w:r>
            <w:r w:rsidR="00B1043F" w:rsidRPr="00603E5B">
              <w:rPr>
                <w:rFonts w:ascii="Verdana" w:hAnsi="Verdana"/>
                <w:sz w:val="18"/>
                <w:szCs w:val="18"/>
              </w:rPr>
              <w:t xml:space="preserve"> constitutional rights have been </w:t>
            </w:r>
            <w:r w:rsidR="005B77F1">
              <w:rPr>
                <w:rFonts w:ascii="Verdana" w:hAnsi="Verdana"/>
                <w:sz w:val="18"/>
                <w:szCs w:val="18"/>
              </w:rPr>
              <w:t xml:space="preserve">allegedly </w:t>
            </w:r>
            <w:r w:rsidR="00B1043F" w:rsidRPr="00603E5B">
              <w:rPr>
                <w:rFonts w:ascii="Verdana" w:hAnsi="Verdana"/>
                <w:sz w:val="18"/>
                <w:szCs w:val="18"/>
              </w:rPr>
              <w:t>interfered with</w:t>
            </w:r>
          </w:p>
        </w:tc>
      </w:tr>
      <w:tr w:rsidR="00B1043F" w:rsidRPr="00603E5B" w14:paraId="23F5C129" w14:textId="77777777" w:rsidTr="00516346">
        <w:tc>
          <w:tcPr>
            <w:tcW w:w="4508" w:type="dxa"/>
          </w:tcPr>
          <w:p w14:paraId="04C1446E" w14:textId="52061E09" w:rsidR="00865F6B" w:rsidRDefault="00B1043F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 xml:space="preserve">Rostas v. DPP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[2021] IEHC 60 (Unreported, High Court, 9th February 2021)</w:t>
            </w:r>
          </w:p>
          <w:p w14:paraId="2BC40CB5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072DBBD1" w14:textId="4FBB106B" w:rsidR="00B1043F" w:rsidRDefault="00B1043F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St. Margaret’s Recycling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94 (Unreported, High Court, Phelan J., 20th February 2024)</w:t>
            </w:r>
          </w:p>
          <w:p w14:paraId="28BDD1AF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008AF468" w14:textId="5671A7D8" w:rsidR="00A06AC0" w:rsidRDefault="00A06AC0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lastRenderedPageBreak/>
              <w:t>M.R. (Bangladesh) v. The International Protection Appeals Tribunal &amp; Anor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[2020] IEHC 41 (Unreported, High Court, 29th January 20</w:t>
            </w:r>
            <w:r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20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)</w:t>
            </w:r>
          </w:p>
          <w:p w14:paraId="52154F99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6DCEE516" w14:textId="6140F48A" w:rsidR="00A06AC0" w:rsidRDefault="00A06AC0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Mulloy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86 (Unreported, High Court, Holland J., 12th March 2024) (citing </w:t>
            </w: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O’Donnell v. An Bord Pleanála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[2023] IEHC 381 (Unreported, High Court, 1st November 2023)</w:t>
            </w:r>
          </w:p>
          <w:p w14:paraId="6455A2AF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2E8D0E42" w14:textId="13F241A1" w:rsidR="00A06AC0" w:rsidRDefault="00A06AC0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Save Roscam Peninsula CLG  v. An Bord Pleanála (No. 6)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 [2024] IEHC 335 (Unreported, High Court, 7th June 2024)</w:t>
            </w:r>
          </w:p>
          <w:p w14:paraId="19DFB868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</w:p>
          <w:p w14:paraId="7468CC8B" w14:textId="4FCC7BC1" w:rsidR="000872D1" w:rsidRDefault="000872D1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O’Donnell &amp; Ors v. An Bord Pleanála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[2023] IEHC 381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603E5B">
              <w:rPr>
                <w:rFonts w:ascii="Verdana" w:hAnsi="Verdana"/>
                <w:sz w:val="18"/>
                <w:szCs w:val="18"/>
              </w:rPr>
              <w:t>Unreported, High Court, 1st November 2023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14:paraId="2380C6F9" w14:textId="77777777" w:rsidR="006C1027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  <w:p w14:paraId="6C0023A5" w14:textId="77777777" w:rsidR="000872D1" w:rsidRDefault="000872D1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St. Margaret’s Recycling v. An Bord Pleanála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[2024] IEHC 94 (Unreported, High Court, Phelan J., 20th February 2024)</w:t>
            </w:r>
          </w:p>
          <w:p w14:paraId="10B834D2" w14:textId="02C9F17E" w:rsidR="006C1027" w:rsidRPr="000872D1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4B37754" w14:textId="0F08D0EC" w:rsidR="00B1043F" w:rsidRPr="00A1440C" w:rsidRDefault="00D32975" w:rsidP="00865680">
            <w:pPr>
              <w:tabs>
                <w:tab w:val="left" w:pos="1140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Review of</w:t>
            </w:r>
            <w:r w:rsidR="000872D1">
              <w:rPr>
                <w:rFonts w:ascii="Verdana" w:hAnsi="Verdana"/>
                <w:sz w:val="18"/>
                <w:szCs w:val="18"/>
              </w:rPr>
              <w:t xml:space="preserve"> decisions</w:t>
            </w:r>
          </w:p>
        </w:tc>
      </w:tr>
      <w:tr w:rsidR="009B0CEF" w:rsidRPr="00603E5B" w14:paraId="4FF83FFA" w14:textId="77777777" w:rsidTr="00516346">
        <w:tc>
          <w:tcPr>
            <w:tcW w:w="4508" w:type="dxa"/>
          </w:tcPr>
          <w:p w14:paraId="119DC97D" w14:textId="77777777" w:rsidR="009B0CEF" w:rsidRDefault="009B0CEF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E.M. v. Minister for Justice and Equality </w:t>
            </w:r>
            <w:r w:rsidRPr="00603E5B">
              <w:rPr>
                <w:rFonts w:ascii="Verdana" w:hAnsi="Verdana"/>
                <w:sz w:val="18"/>
                <w:szCs w:val="18"/>
              </w:rPr>
              <w:t>[2024] IESC 3 (Unreported, Supreme Court, 21st February 2024)</w:t>
            </w:r>
          </w:p>
          <w:p w14:paraId="3782589C" w14:textId="140D64F7" w:rsidR="006C1027" w:rsidRPr="00603E5B" w:rsidRDefault="006C1027" w:rsidP="008656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4508" w:type="dxa"/>
          </w:tcPr>
          <w:p w14:paraId="1E8E30F1" w14:textId="3E58679D" w:rsidR="009B0CEF" w:rsidRPr="00603E5B" w:rsidRDefault="009B0CEF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0872D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B77F1">
              <w:rPr>
                <w:rFonts w:ascii="Verdana" w:hAnsi="Verdana"/>
                <w:sz w:val="18"/>
                <w:szCs w:val="18"/>
              </w:rPr>
              <w:t xml:space="preserve">Effect of </w:t>
            </w:r>
            <w:r w:rsidRPr="000872D1">
              <w:rPr>
                <w:rFonts w:ascii="Verdana" w:hAnsi="Verdana"/>
                <w:sz w:val="18"/>
                <w:szCs w:val="18"/>
              </w:rPr>
              <w:t>“</w:t>
            </w:r>
            <w:r w:rsidR="000872D1" w:rsidRPr="000872D1">
              <w:rPr>
                <w:rFonts w:ascii="Verdana" w:hAnsi="Verdana"/>
                <w:sz w:val="18"/>
                <w:szCs w:val="18"/>
              </w:rPr>
              <w:t>U</w:t>
            </w:r>
            <w:r w:rsidRPr="000872D1">
              <w:rPr>
                <w:rFonts w:ascii="Verdana" w:hAnsi="Verdana"/>
                <w:sz w:val="18"/>
                <w:szCs w:val="18"/>
              </w:rPr>
              <w:t xml:space="preserve">nhelpful” statements </w:t>
            </w:r>
            <w:r w:rsidR="000872D1" w:rsidRPr="000872D1">
              <w:rPr>
                <w:rFonts w:ascii="Verdana" w:hAnsi="Verdana"/>
                <w:sz w:val="18"/>
                <w:szCs w:val="18"/>
              </w:rPr>
              <w:t>in decisions</w:t>
            </w:r>
          </w:p>
        </w:tc>
      </w:tr>
      <w:tr w:rsidR="00B1043F" w:rsidRPr="00603E5B" w14:paraId="2A380E22" w14:textId="77777777" w:rsidTr="00516346">
        <w:tc>
          <w:tcPr>
            <w:tcW w:w="4508" w:type="dxa"/>
          </w:tcPr>
          <w:p w14:paraId="1A6A2870" w14:textId="37152DCE" w:rsidR="0044224F" w:rsidRPr="00603E5B" w:rsidRDefault="0044224F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A.B. v. Minister for Justice and Equality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[2016] IECA 48</w:t>
            </w:r>
            <w:r w:rsidR="000E1F90">
              <w:rPr>
                <w:rFonts w:ascii="Verdana" w:hAnsi="Verdana"/>
                <w:sz w:val="18"/>
                <w:szCs w:val="18"/>
              </w:rPr>
              <w:t xml:space="preserve"> (Unreported, Court of Appeal, </w:t>
            </w:r>
            <w:r w:rsidR="00945FBB">
              <w:rPr>
                <w:rFonts w:ascii="Verdana" w:hAnsi="Verdana"/>
                <w:sz w:val="18"/>
                <w:szCs w:val="18"/>
              </w:rPr>
              <w:t>Ryan P., 26th February 2016)</w:t>
            </w:r>
          </w:p>
          <w:p w14:paraId="759E0728" w14:textId="77777777" w:rsidR="0044224F" w:rsidRPr="00603E5B" w:rsidRDefault="0044224F" w:rsidP="00865680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14:paraId="3A1F98E9" w14:textId="1DAD8DB6" w:rsidR="00B1043F" w:rsidRPr="00603E5B" w:rsidRDefault="00B1043F" w:rsidP="00865680">
            <w:pPr>
              <w:tabs>
                <w:tab w:val="left" w:pos="300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E8CCA41" w14:textId="7AE98498" w:rsidR="00B1043F" w:rsidRPr="00DE06CE" w:rsidRDefault="005B77F1" w:rsidP="00865680">
            <w:pPr>
              <w:tabs>
                <w:tab w:val="left" w:pos="990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Whether a</w:t>
            </w:r>
            <w:r w:rsidR="00A61783">
              <w:rPr>
                <w:rFonts w:ascii="Verdana" w:hAnsi="Verdana"/>
                <w:sz w:val="18"/>
                <w:szCs w:val="18"/>
              </w:rPr>
              <w:t xml:space="preserve">pplicant </w:t>
            </w:r>
            <w:r>
              <w:rPr>
                <w:rFonts w:ascii="Verdana" w:hAnsi="Verdana"/>
                <w:sz w:val="18"/>
                <w:szCs w:val="18"/>
              </w:rPr>
              <w:t xml:space="preserve">can </w:t>
            </w:r>
            <w:r w:rsidR="00A61783">
              <w:rPr>
                <w:rFonts w:ascii="Verdana" w:hAnsi="Verdana"/>
                <w:sz w:val="18"/>
                <w:szCs w:val="18"/>
              </w:rPr>
              <w:t>dictat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="00A61783">
              <w:rPr>
                <w:rFonts w:ascii="Verdana" w:hAnsi="Verdana"/>
                <w:sz w:val="18"/>
                <w:szCs w:val="18"/>
              </w:rPr>
              <w:t xml:space="preserve"> p</w:t>
            </w:r>
            <w:r w:rsidR="0044224F" w:rsidRPr="00DE06CE">
              <w:rPr>
                <w:rFonts w:ascii="Verdana" w:hAnsi="Verdana"/>
                <w:sz w:val="18"/>
                <w:szCs w:val="18"/>
              </w:rPr>
              <w:t>rocedures to be adopted</w:t>
            </w:r>
          </w:p>
        </w:tc>
      </w:tr>
    </w:tbl>
    <w:p w14:paraId="6C9E0BB8" w14:textId="77777777" w:rsidR="00603E5B" w:rsidRPr="005B77F1" w:rsidRDefault="00603E5B" w:rsidP="00865680">
      <w:pPr>
        <w:spacing w:after="0" w:line="240" w:lineRule="auto"/>
      </w:pPr>
    </w:p>
    <w:p w14:paraId="6AE51B1F" w14:textId="5B6496DC" w:rsidR="0044224F" w:rsidRPr="000D6021" w:rsidRDefault="005B77F1" w:rsidP="00865680">
      <w:pPr>
        <w:pStyle w:val="Heading1"/>
      </w:pPr>
      <w:bookmarkStart w:id="8" w:name="_Toc183293712"/>
      <w:r>
        <w:t>Other p</w:t>
      </w:r>
      <w:r w:rsidR="0044224F" w:rsidRPr="00F931B5">
        <w:t>rocedural issues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4224F" w:rsidRPr="000D6021" w14:paraId="7545E466" w14:textId="77777777" w:rsidTr="00516346">
        <w:tc>
          <w:tcPr>
            <w:tcW w:w="4508" w:type="dxa"/>
          </w:tcPr>
          <w:p w14:paraId="48599E22" w14:textId="77777777" w:rsidR="0044224F" w:rsidRPr="000D6021" w:rsidRDefault="0044224F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D602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Case </w:t>
            </w:r>
          </w:p>
        </w:tc>
        <w:tc>
          <w:tcPr>
            <w:tcW w:w="4508" w:type="dxa"/>
          </w:tcPr>
          <w:p w14:paraId="31145D23" w14:textId="77777777" w:rsidR="0044224F" w:rsidRPr="000D6021" w:rsidRDefault="0044224F" w:rsidP="0086568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D6021">
              <w:rPr>
                <w:rFonts w:ascii="Verdana" w:hAnsi="Verdana" w:cs="Arial"/>
                <w:b/>
                <w:bCs/>
                <w:sz w:val="18"/>
                <w:szCs w:val="18"/>
              </w:rPr>
              <w:t>Relevant issue</w:t>
            </w:r>
          </w:p>
        </w:tc>
      </w:tr>
      <w:tr w:rsidR="0044224F" w:rsidRPr="00603E5B" w14:paraId="4C30A6E4" w14:textId="77777777" w:rsidTr="00516346">
        <w:tc>
          <w:tcPr>
            <w:tcW w:w="4508" w:type="dxa"/>
          </w:tcPr>
          <w:p w14:paraId="6A29F224" w14:textId="77777777" w:rsidR="0044224F" w:rsidRDefault="0044224F" w:rsidP="00865680">
            <w:pPr>
              <w:tabs>
                <w:tab w:val="left" w:pos="132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Ballyboden Tidy Towns Group v. An Bord Pleanála &amp; Ors</w:t>
            </w:r>
            <w:r w:rsidRPr="00603E5B" w:rsidDel="006C5D0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/>
                <w:sz w:val="18"/>
                <w:szCs w:val="18"/>
              </w:rPr>
              <w:t>[2024] IESC 4</w:t>
            </w:r>
            <w:r w:rsidRPr="00603E5B" w:rsidDel="006C5D0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(Unreported, Supreme Court, </w:t>
            </w:r>
            <w:r w:rsidR="000F1852">
              <w:rPr>
                <w:rFonts w:ascii="Verdana" w:hAnsi="Verdana"/>
                <w:sz w:val="18"/>
                <w:szCs w:val="18"/>
              </w:rPr>
              <w:t xml:space="preserve">Donnelly J., </w:t>
            </w:r>
            <w:r w:rsidRPr="00603E5B">
              <w:rPr>
                <w:rFonts w:ascii="Verdana" w:hAnsi="Verdana"/>
                <w:sz w:val="18"/>
                <w:szCs w:val="18"/>
              </w:rPr>
              <w:t>22nd February 2024)</w:t>
            </w:r>
          </w:p>
          <w:p w14:paraId="3932CB8A" w14:textId="2F273096" w:rsidR="006C1027" w:rsidRPr="00603E5B" w:rsidRDefault="006C1027" w:rsidP="00865680">
            <w:pPr>
              <w:tabs>
                <w:tab w:val="left" w:pos="1320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9D011AC" w14:textId="6865C5C0" w:rsidR="0044224F" w:rsidRPr="00603E5B" w:rsidRDefault="005B77F1" w:rsidP="008656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Where there is a c</w:t>
            </w:r>
            <w:r w:rsidR="0044224F" w:rsidRPr="00603E5B">
              <w:rPr>
                <w:rFonts w:ascii="Verdana" w:hAnsi="Verdana"/>
                <w:sz w:val="18"/>
                <w:szCs w:val="18"/>
              </w:rPr>
              <w:t>onceded issue</w:t>
            </w:r>
            <w:r>
              <w:rPr>
                <w:rFonts w:ascii="Verdana" w:hAnsi="Verdana"/>
                <w:sz w:val="18"/>
                <w:szCs w:val="18"/>
              </w:rPr>
              <w:t xml:space="preserve"> – role of the court in exercising its own judgement</w:t>
            </w:r>
          </w:p>
          <w:p w14:paraId="6CB739C8" w14:textId="2E42C4DC" w:rsidR="0044224F" w:rsidRPr="00603E5B" w:rsidRDefault="0044224F" w:rsidP="0086568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224F" w:rsidRPr="00603E5B" w14:paraId="211C31D3" w14:textId="77777777" w:rsidTr="00516346">
        <w:tc>
          <w:tcPr>
            <w:tcW w:w="4508" w:type="dxa"/>
          </w:tcPr>
          <w:p w14:paraId="0B8E5825" w14:textId="77777777" w:rsidR="0044224F" w:rsidRDefault="0044224F" w:rsidP="00865680">
            <w:pPr>
              <w:tabs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An Taisce v. An Bord Pleanála &amp; Ors. (No. 2) </w:t>
            </w:r>
            <w:r w:rsidRPr="00603E5B">
              <w:rPr>
                <w:rFonts w:ascii="Verdana" w:hAnsi="Verdana"/>
                <w:sz w:val="18"/>
                <w:szCs w:val="18"/>
              </w:rPr>
              <w:t>[2021] IESC 83, [2023] 1 I.R. 417</w:t>
            </w:r>
          </w:p>
          <w:p w14:paraId="017F4EC6" w14:textId="5CEC4BAD" w:rsidR="006C1027" w:rsidRPr="00603E5B" w:rsidRDefault="006C1027" w:rsidP="00865680">
            <w:pPr>
              <w:tabs>
                <w:tab w:val="left" w:pos="2835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BFDC285" w14:textId="40818A3D" w:rsidR="0044224F" w:rsidRPr="00603E5B" w:rsidRDefault="0044224F" w:rsidP="00865680">
            <w:pPr>
              <w:tabs>
                <w:tab w:val="left" w:pos="1875"/>
              </w:tabs>
              <w:rPr>
                <w:rFonts w:ascii="Verdana" w:hAnsi="Verdana" w:cs="Arial"/>
                <w:sz w:val="18"/>
                <w:szCs w:val="18"/>
              </w:rPr>
            </w:pPr>
            <w:r w:rsidRPr="00603E5B">
              <w:rPr>
                <w:rFonts w:ascii="Verdana" w:hAnsi="Verdana"/>
                <w:sz w:val="18"/>
                <w:szCs w:val="18"/>
              </w:rPr>
              <w:t>Joinder of AG</w:t>
            </w:r>
          </w:p>
        </w:tc>
      </w:tr>
      <w:tr w:rsidR="0044224F" w:rsidRPr="00603E5B" w14:paraId="355089F9" w14:textId="77777777" w:rsidTr="00516346">
        <w:tc>
          <w:tcPr>
            <w:tcW w:w="4508" w:type="dxa"/>
          </w:tcPr>
          <w:p w14:paraId="76277967" w14:textId="77777777" w:rsidR="0044224F" w:rsidRDefault="0044224F" w:rsidP="00865680">
            <w:pPr>
              <w:tabs>
                <w:tab w:val="left" w:pos="3495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O'Driscoll v. Hurley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[2015] IECA 158, 2015 WJSC-CA 22358</w:t>
            </w:r>
            <w:r w:rsidR="00DD6B48">
              <w:rPr>
                <w:rFonts w:ascii="Verdana" w:hAnsi="Verdana"/>
                <w:sz w:val="18"/>
                <w:szCs w:val="18"/>
              </w:rPr>
              <w:t xml:space="preserve"> (Unreported, Court of Appeal, Irvine J., 8th July 2015)</w:t>
            </w:r>
          </w:p>
          <w:p w14:paraId="6F771643" w14:textId="369BF8FF" w:rsidR="006C1027" w:rsidRPr="00603E5B" w:rsidRDefault="006C1027" w:rsidP="00865680">
            <w:pPr>
              <w:tabs>
                <w:tab w:val="left" w:pos="3495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69DF86F" w14:textId="67EA9E96" w:rsidR="0044224F" w:rsidRPr="000F1852" w:rsidRDefault="005B77F1" w:rsidP="00865680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</w:rPr>
              <w:t>Extent of requirement to recite evidence</w:t>
            </w:r>
          </w:p>
        </w:tc>
      </w:tr>
      <w:tr w:rsidR="0044224F" w:rsidRPr="00603E5B" w14:paraId="178AA0C0" w14:textId="77777777" w:rsidTr="00516346">
        <w:tc>
          <w:tcPr>
            <w:tcW w:w="4508" w:type="dxa"/>
          </w:tcPr>
          <w:p w14:paraId="5EAA6978" w14:textId="77777777" w:rsidR="0044224F" w:rsidRDefault="0044224F" w:rsidP="00865680">
            <w:pPr>
              <w:tabs>
                <w:tab w:val="left" w:pos="1320"/>
              </w:tabs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</w:pP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>An Taisce v. an Bord Pleanála &amp; Ors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 xml:space="preserve">. </w:t>
            </w:r>
            <w:r w:rsidRPr="00603E5B"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  <w:t xml:space="preserve">(No. 3) </w:t>
            </w:r>
            <w:r w:rsidRPr="00603E5B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[2022] IESC 8, [2022] 2 I.R. 173, [2022] 1 I.L.R.M. 281</w:t>
            </w:r>
          </w:p>
          <w:p w14:paraId="7769A2B8" w14:textId="3CB8560E" w:rsidR="006C1027" w:rsidRPr="00603E5B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A9454EC" w14:textId="3C334C0F" w:rsidR="0044224F" w:rsidRPr="00603E5B" w:rsidRDefault="000F1852" w:rsidP="00865680">
            <w:pPr>
              <w:tabs>
                <w:tab w:val="left" w:pos="3120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When </w:t>
            </w:r>
            <w:r w:rsidR="0044224F" w:rsidRPr="00603E5B">
              <w:rPr>
                <w:rFonts w:ascii="Verdana" w:hAnsi="Verdana"/>
                <w:sz w:val="18"/>
                <w:szCs w:val="18"/>
              </w:rPr>
              <w:t xml:space="preserve">CJEU reference </w:t>
            </w:r>
            <w:r w:rsidR="005B77F1">
              <w:rPr>
                <w:rFonts w:ascii="Verdana" w:hAnsi="Verdana"/>
                <w:sz w:val="18"/>
                <w:szCs w:val="18"/>
              </w:rPr>
              <w:t>may not</w:t>
            </w:r>
            <w:r>
              <w:rPr>
                <w:rFonts w:ascii="Verdana" w:hAnsi="Verdana"/>
                <w:sz w:val="18"/>
                <w:szCs w:val="18"/>
              </w:rPr>
              <w:t xml:space="preserve"> arise</w:t>
            </w:r>
          </w:p>
        </w:tc>
      </w:tr>
      <w:tr w:rsidR="0044224F" w:rsidRPr="00603E5B" w14:paraId="0FDE94E2" w14:textId="77777777" w:rsidTr="00516346">
        <w:tc>
          <w:tcPr>
            <w:tcW w:w="4508" w:type="dxa"/>
          </w:tcPr>
          <w:p w14:paraId="03F328D4" w14:textId="72B472C7" w:rsidR="000F1852" w:rsidRDefault="0044224F" w:rsidP="00865680">
            <w:pPr>
              <w:tabs>
                <w:tab w:val="left" w:pos="324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RPS Consulting Engineers Ltd. v. Kildare County Council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[2016] IEHC 113, [2017] 3 I.R. 61</w:t>
            </w:r>
          </w:p>
          <w:p w14:paraId="0822ADBE" w14:textId="77777777" w:rsidR="006C1027" w:rsidRDefault="006C1027" w:rsidP="00865680">
            <w:pPr>
              <w:tabs>
                <w:tab w:val="left" w:pos="3240"/>
              </w:tabs>
              <w:rPr>
                <w:rFonts w:ascii="Verdana" w:hAnsi="Verdana"/>
                <w:sz w:val="18"/>
                <w:szCs w:val="18"/>
              </w:rPr>
            </w:pPr>
          </w:p>
          <w:p w14:paraId="270E1FF9" w14:textId="77777777" w:rsidR="0044224F" w:rsidRDefault="0044224F" w:rsidP="00865680">
            <w:pPr>
              <w:tabs>
                <w:tab w:val="left" w:pos="324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Krupecki v. The Minister for Justice and Equality (No. 2)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[2018] IEHC 538, [2019] 3 I.R. 67</w:t>
            </w:r>
          </w:p>
          <w:p w14:paraId="3C45B660" w14:textId="58813582" w:rsidR="006C1027" w:rsidRPr="00603E5B" w:rsidRDefault="006C1027" w:rsidP="00865680">
            <w:pPr>
              <w:tabs>
                <w:tab w:val="left" w:pos="324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972456F" w14:textId="60D53C75" w:rsidR="0044224F" w:rsidRPr="00603E5B" w:rsidRDefault="00FB41CD" w:rsidP="0086568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Flexible remedies</w:t>
            </w:r>
          </w:p>
        </w:tc>
      </w:tr>
      <w:tr w:rsidR="0044224F" w:rsidRPr="00603E5B" w14:paraId="74C81AFE" w14:textId="77777777" w:rsidTr="00516346">
        <w:tc>
          <w:tcPr>
            <w:tcW w:w="4508" w:type="dxa"/>
          </w:tcPr>
          <w:p w14:paraId="24CF0212" w14:textId="77777777" w:rsidR="0044224F" w:rsidRDefault="0044224F" w:rsidP="00865680">
            <w:pPr>
              <w:tabs>
                <w:tab w:val="left" w:pos="132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H.A.A. (Nigeria) v Minister for Justice and Equality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[2018] IEHC 34 (Unreported, High Court, 23rd January 2018)</w:t>
            </w:r>
          </w:p>
          <w:p w14:paraId="1C73FF97" w14:textId="31869EC0" w:rsidR="006C1027" w:rsidRPr="00603E5B" w:rsidRDefault="006C1027" w:rsidP="00865680">
            <w:pPr>
              <w:tabs>
                <w:tab w:val="left" w:pos="132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921124F" w14:textId="7AE0CE86" w:rsidR="0044224F" w:rsidRPr="000F1852" w:rsidRDefault="0044224F" w:rsidP="00865680">
            <w:pPr>
              <w:tabs>
                <w:tab w:val="left" w:pos="1605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sz w:val="18"/>
                <w:szCs w:val="18"/>
              </w:rPr>
              <w:t>Partial quashing</w:t>
            </w:r>
          </w:p>
        </w:tc>
      </w:tr>
      <w:tr w:rsidR="0044224F" w:rsidRPr="00603E5B" w14:paraId="57132ACD" w14:textId="77777777" w:rsidTr="00516346">
        <w:tc>
          <w:tcPr>
            <w:tcW w:w="4508" w:type="dxa"/>
          </w:tcPr>
          <w:p w14:paraId="4F136649" w14:textId="0FA42A11" w:rsidR="005B77F1" w:rsidRDefault="005B77F1" w:rsidP="00865680">
            <w:pPr>
              <w:tabs>
                <w:tab w:val="left" w:pos="132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lastRenderedPageBreak/>
              <w:t>Ballyboden Tidy Towns Group v. An Bord Pleanála &amp; Ors</w:t>
            </w:r>
            <w:r w:rsidRPr="00603E5B" w:rsidDel="006C5D0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/>
                <w:sz w:val="18"/>
                <w:szCs w:val="18"/>
              </w:rPr>
              <w:t>[2024] IESC 4</w:t>
            </w:r>
            <w:r w:rsidRPr="00603E5B" w:rsidDel="006C5D0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(Unreported, Supreme Court, </w:t>
            </w:r>
            <w:r>
              <w:rPr>
                <w:rFonts w:ascii="Verdana" w:hAnsi="Verdana"/>
                <w:sz w:val="18"/>
                <w:szCs w:val="18"/>
              </w:rPr>
              <w:t xml:space="preserve">Donnelly J., </w:t>
            </w:r>
            <w:r w:rsidRPr="00603E5B">
              <w:rPr>
                <w:rFonts w:ascii="Verdana" w:hAnsi="Verdana"/>
                <w:sz w:val="18"/>
                <w:szCs w:val="18"/>
              </w:rPr>
              <w:t>22nd February 2024)</w:t>
            </w:r>
          </w:p>
          <w:p w14:paraId="3583664A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/>
                <w:sz w:val="18"/>
                <w:szCs w:val="18"/>
              </w:rPr>
            </w:pPr>
          </w:p>
          <w:p w14:paraId="79C39EC8" w14:textId="27EE85B3" w:rsidR="0044224F" w:rsidRDefault="0044224F" w:rsidP="00865680">
            <w:pPr>
              <w:tabs>
                <w:tab w:val="left" w:pos="132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B.S. v. Refugee Appeals Tribunal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[2019] IESC 32 (Unreported, Supreme Court, 22nd May 2019)</w:t>
            </w:r>
          </w:p>
          <w:p w14:paraId="1FEB5CC7" w14:textId="77777777" w:rsidR="006C1027" w:rsidRDefault="006C1027" w:rsidP="00865680">
            <w:pPr>
              <w:tabs>
                <w:tab w:val="left" w:pos="1320"/>
              </w:tabs>
              <w:rPr>
                <w:rFonts w:ascii="Verdana" w:hAnsi="Verdana"/>
                <w:sz w:val="18"/>
                <w:szCs w:val="18"/>
              </w:rPr>
            </w:pPr>
          </w:p>
          <w:p w14:paraId="4513EA8F" w14:textId="77777777" w:rsidR="005D2CD9" w:rsidRDefault="005D2CD9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Save Cork City Community Association CLG v. An Bord Pleanála </w:t>
            </w:r>
            <w:r w:rsidRPr="00603E5B">
              <w:rPr>
                <w:rFonts w:ascii="Verdana" w:hAnsi="Verdana"/>
                <w:sz w:val="18"/>
                <w:szCs w:val="18"/>
              </w:rPr>
              <w:t>[2022] IESC 52 (Unreported, Supreme Court, 21st December 2022)</w:t>
            </w:r>
          </w:p>
          <w:p w14:paraId="3BC06840" w14:textId="1484FEB3" w:rsidR="006C1027" w:rsidRPr="005D2CD9" w:rsidRDefault="006C1027" w:rsidP="0086568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F6C4154" w14:textId="78CD65AD" w:rsidR="0044224F" w:rsidRPr="00603E5B" w:rsidRDefault="0044224F" w:rsidP="00865680">
            <w:pPr>
              <w:tabs>
                <w:tab w:val="left" w:pos="1140"/>
              </w:tabs>
              <w:rPr>
                <w:rFonts w:ascii="Verdana" w:hAnsi="Verdana" w:cs="Arial"/>
                <w:sz w:val="18"/>
                <w:szCs w:val="18"/>
              </w:rPr>
            </w:pPr>
            <w:r w:rsidRPr="00603E5B">
              <w:rPr>
                <w:rFonts w:ascii="Verdana" w:hAnsi="Verdana"/>
                <w:sz w:val="18"/>
                <w:szCs w:val="18"/>
              </w:rPr>
              <w:t>Discretion</w:t>
            </w:r>
            <w:r w:rsidR="005B77F1">
              <w:rPr>
                <w:rFonts w:ascii="Verdana" w:hAnsi="Verdana"/>
                <w:sz w:val="18"/>
                <w:szCs w:val="18"/>
              </w:rPr>
              <w:t>/ court’s role in the order</w:t>
            </w:r>
          </w:p>
        </w:tc>
      </w:tr>
      <w:tr w:rsidR="0044224F" w:rsidRPr="00603E5B" w14:paraId="5B32B185" w14:textId="77777777" w:rsidTr="00516346">
        <w:tc>
          <w:tcPr>
            <w:tcW w:w="4508" w:type="dxa"/>
          </w:tcPr>
          <w:p w14:paraId="4D7967DA" w14:textId="292C7CE6" w:rsidR="0044224F" w:rsidRPr="00603E5B" w:rsidRDefault="0044224F" w:rsidP="00865680">
            <w:pPr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Crofton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Buildings and Another v. An Bord Pleanála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[2024] IESC 12</w:t>
            </w:r>
            <w:r w:rsidR="004A268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/>
                <w:sz w:val="18"/>
                <w:szCs w:val="18"/>
              </w:rPr>
              <w:t>(Unreported, Supreme Court, 10th April 2024)</w:t>
            </w:r>
          </w:p>
          <w:p w14:paraId="4BA4DC7B" w14:textId="77777777" w:rsidR="0044224F" w:rsidRPr="00603E5B" w:rsidRDefault="0044224F" w:rsidP="00865680">
            <w:pPr>
              <w:tabs>
                <w:tab w:val="left" w:pos="3555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EAB42EA" w14:textId="55A9990E" w:rsidR="0044224F" w:rsidRPr="004E621B" w:rsidRDefault="004E621B" w:rsidP="008656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Specific directions re: mandatory remittal</w:t>
            </w:r>
            <w:r w:rsidR="00332165">
              <w:rPr>
                <w:rFonts w:ascii="Verdana" w:hAnsi="Verdana"/>
                <w:sz w:val="18"/>
                <w:szCs w:val="18"/>
              </w:rPr>
              <w:t>s</w:t>
            </w:r>
          </w:p>
        </w:tc>
      </w:tr>
      <w:tr w:rsidR="0044224F" w:rsidRPr="00603E5B" w14:paraId="166906DC" w14:textId="77777777" w:rsidTr="00516346">
        <w:tc>
          <w:tcPr>
            <w:tcW w:w="4508" w:type="dxa"/>
          </w:tcPr>
          <w:p w14:paraId="13F18A31" w14:textId="048BEE5C" w:rsidR="005B77F1" w:rsidRDefault="005B77F1" w:rsidP="00865680">
            <w:pPr>
              <w:tabs>
                <w:tab w:val="left" w:pos="3000"/>
              </w:tabs>
              <w:rPr>
                <w:rFonts w:ascii="Verdana" w:hAnsi="Verdana"/>
                <w:sz w:val="18"/>
                <w:szCs w:val="18"/>
              </w:rPr>
            </w:pPr>
            <w:r w:rsidRPr="005B77F1">
              <w:rPr>
                <w:rFonts w:ascii="Verdana" w:hAnsi="Verdana"/>
                <w:i/>
                <w:iCs/>
                <w:sz w:val="18"/>
                <w:szCs w:val="18"/>
              </w:rPr>
              <w:t>Little v</w:t>
            </w:r>
            <w:r w:rsidR="006C1027"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  <w:r w:rsidRPr="005B77F1">
              <w:rPr>
                <w:rFonts w:ascii="Verdana" w:hAnsi="Verdana"/>
                <w:i/>
                <w:iCs/>
                <w:sz w:val="18"/>
                <w:szCs w:val="18"/>
              </w:rPr>
              <w:t xml:space="preserve"> Chief Appeals Officer </w:t>
            </w:r>
            <w:r w:rsidRPr="005B77F1">
              <w:rPr>
                <w:rFonts w:ascii="Verdana" w:hAnsi="Verdana"/>
                <w:sz w:val="18"/>
                <w:szCs w:val="18"/>
              </w:rPr>
              <w:t xml:space="preserve">[2024] IESC 53 </w:t>
            </w:r>
            <w:r w:rsidR="006C1027">
              <w:rPr>
                <w:rFonts w:ascii="Verdana" w:hAnsi="Verdana"/>
                <w:sz w:val="18"/>
                <w:szCs w:val="18"/>
              </w:rPr>
              <w:t xml:space="preserve">(Unreported, Supreme Court, 19th November 2024) </w:t>
            </w:r>
            <w:r w:rsidRPr="006C1027">
              <w:rPr>
                <w:rFonts w:ascii="Verdana" w:hAnsi="Verdana"/>
                <w:i/>
                <w:iCs/>
                <w:sz w:val="18"/>
                <w:szCs w:val="18"/>
              </w:rPr>
              <w:t>per</w:t>
            </w:r>
            <w:r w:rsidRPr="005B77F1">
              <w:rPr>
                <w:rFonts w:ascii="Verdana" w:hAnsi="Verdana"/>
                <w:sz w:val="18"/>
                <w:szCs w:val="18"/>
              </w:rPr>
              <w:t xml:space="preserve"> Murray J</w:t>
            </w:r>
            <w:r w:rsidR="006C1027">
              <w:rPr>
                <w:rFonts w:ascii="Verdana" w:hAnsi="Verdana"/>
                <w:sz w:val="18"/>
                <w:szCs w:val="18"/>
              </w:rPr>
              <w:t>.</w:t>
            </w:r>
          </w:p>
          <w:p w14:paraId="7FCDD187" w14:textId="77777777" w:rsidR="006C1027" w:rsidRPr="005B77F1" w:rsidRDefault="006C1027" w:rsidP="00865680">
            <w:pPr>
              <w:tabs>
                <w:tab w:val="left" w:pos="3000"/>
              </w:tabs>
              <w:rPr>
                <w:rFonts w:ascii="Verdana" w:hAnsi="Verdana"/>
                <w:sz w:val="18"/>
                <w:szCs w:val="18"/>
              </w:rPr>
            </w:pPr>
          </w:p>
          <w:p w14:paraId="5A641F81" w14:textId="0743FA18" w:rsidR="0044224F" w:rsidRDefault="0044224F" w:rsidP="00865680">
            <w:pPr>
              <w:tabs>
                <w:tab w:val="left" w:pos="300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Crofton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>Buildings and Another v. An Bord Pleanála</w:t>
            </w:r>
            <w:r w:rsidRPr="00603E5B">
              <w:rPr>
                <w:rFonts w:ascii="Verdana" w:hAnsi="Verdana"/>
                <w:sz w:val="18"/>
                <w:szCs w:val="18"/>
              </w:rPr>
              <w:t xml:space="preserve"> [2024] IESC 12 (Unreported, Supreme Court, 10th April 2024)</w:t>
            </w:r>
          </w:p>
          <w:p w14:paraId="5F0B4FBB" w14:textId="77777777" w:rsidR="006C1027" w:rsidRDefault="006C1027" w:rsidP="00865680">
            <w:pPr>
              <w:tabs>
                <w:tab w:val="left" w:pos="3000"/>
              </w:tabs>
              <w:rPr>
                <w:rFonts w:ascii="Verdana" w:hAnsi="Verdana"/>
                <w:sz w:val="18"/>
                <w:szCs w:val="18"/>
              </w:rPr>
            </w:pPr>
          </w:p>
          <w:p w14:paraId="746E464E" w14:textId="77777777" w:rsidR="005B77F1" w:rsidRDefault="005B77F1" w:rsidP="00865680">
            <w:pPr>
              <w:tabs>
                <w:tab w:val="left" w:pos="3000"/>
              </w:tabs>
              <w:rPr>
                <w:rFonts w:ascii="Verdana" w:hAnsi="Verdana"/>
                <w:sz w:val="18"/>
                <w:szCs w:val="18"/>
              </w:rPr>
            </w:pPr>
            <w:r w:rsidRPr="00603E5B">
              <w:rPr>
                <w:rFonts w:ascii="Verdana" w:hAnsi="Verdana"/>
                <w:i/>
                <w:iCs/>
                <w:sz w:val="18"/>
                <w:szCs w:val="18"/>
              </w:rPr>
              <w:t xml:space="preserve">An Taisce v. An Bord Pleanála &amp; Ors. (No. 4) </w:t>
            </w:r>
            <w:r w:rsidRPr="00603E5B">
              <w:rPr>
                <w:rFonts w:ascii="Verdana" w:hAnsi="Verdana"/>
                <w:sz w:val="18"/>
                <w:szCs w:val="18"/>
              </w:rPr>
              <w:t>[2022] IESC 18 (Unreported, Supreme Court, 4th April 2022)</w:t>
            </w:r>
          </w:p>
          <w:p w14:paraId="589DA0F1" w14:textId="4E199119" w:rsidR="006C1027" w:rsidRPr="00603E5B" w:rsidRDefault="006C1027" w:rsidP="00865680">
            <w:pPr>
              <w:tabs>
                <w:tab w:val="left" w:pos="3000"/>
              </w:tabs>
              <w:rPr>
                <w:rFonts w:ascii="Verdana" w:hAnsi="Verdan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2342B2C" w14:textId="1C35F992" w:rsidR="0044224F" w:rsidRPr="00603E5B" w:rsidRDefault="00457A89" w:rsidP="00865680">
            <w:pPr>
              <w:tabs>
                <w:tab w:val="left" w:pos="990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Costs</w:t>
            </w:r>
            <w:r w:rsidR="001A4CA5">
              <w:rPr>
                <w:rFonts w:ascii="Verdana" w:hAnsi="Verdana"/>
                <w:sz w:val="18"/>
                <w:szCs w:val="18"/>
              </w:rPr>
              <w:t xml:space="preserve"> in test cases</w:t>
            </w:r>
            <w:r w:rsidR="005B77F1">
              <w:rPr>
                <w:rFonts w:ascii="Verdana" w:hAnsi="Verdana"/>
                <w:sz w:val="18"/>
                <w:szCs w:val="18"/>
              </w:rPr>
              <w:t>/ public interest cases</w:t>
            </w:r>
          </w:p>
        </w:tc>
      </w:tr>
    </w:tbl>
    <w:p w14:paraId="365400A3" w14:textId="5943C4FF" w:rsidR="00FD3C5B" w:rsidRDefault="00FD3C5B" w:rsidP="0086568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DBFC4CC" w14:textId="77777777" w:rsidR="006B4D51" w:rsidRPr="006B4D51" w:rsidRDefault="006B4D51" w:rsidP="006B4D51">
      <w:pPr>
        <w:pStyle w:val="Heading1"/>
      </w:pPr>
      <w:r w:rsidRPr="006B4D51">
        <w:t xml:space="preserve">Authorities re: </w:t>
      </w:r>
      <w:r w:rsidRPr="006B4D51">
        <w:rPr>
          <w:i/>
          <w:iCs/>
        </w:rPr>
        <w:t>amici curiae</w:t>
      </w:r>
    </w:p>
    <w:p w14:paraId="70EDCA94" w14:textId="77777777" w:rsidR="006B4D51" w:rsidRPr="006B4D51" w:rsidRDefault="006B4D51" w:rsidP="006B4D51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6D81955C" w14:textId="77777777" w:rsidR="006B4D51" w:rsidRPr="006B4D51" w:rsidRDefault="006B4D51" w:rsidP="006B4D51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B4D51">
        <w:rPr>
          <w:rFonts w:ascii="Verdana" w:hAnsi="Verdana" w:cs="Times New Roman"/>
          <w:sz w:val="18"/>
          <w:szCs w:val="18"/>
        </w:rPr>
        <w:t xml:space="preserve">The following are illustrations of parties joined as </w:t>
      </w:r>
      <w:r w:rsidRPr="006B4D51">
        <w:rPr>
          <w:rFonts w:ascii="Verdana" w:hAnsi="Verdana" w:cs="Times New Roman"/>
          <w:i/>
          <w:iCs/>
          <w:sz w:val="18"/>
          <w:szCs w:val="18"/>
        </w:rPr>
        <w:t>amici curiae</w:t>
      </w:r>
      <w:r w:rsidRPr="006B4D51">
        <w:rPr>
          <w:rFonts w:ascii="Verdana" w:hAnsi="Verdana" w:cs="Times New Roman"/>
          <w:sz w:val="18"/>
          <w:szCs w:val="18"/>
        </w:rPr>
        <w:t xml:space="preserve"> including in the Art. 267 TFEU context</w:t>
      </w:r>
    </w:p>
    <w:p w14:paraId="1F4BE588" w14:textId="77777777" w:rsidR="006B4D51" w:rsidRPr="006B4D51" w:rsidRDefault="006B4D51" w:rsidP="006B4D51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6B4D51" w:rsidRPr="006B4D51" w14:paraId="31D6ECD4" w14:textId="77777777" w:rsidTr="00642D88">
        <w:tc>
          <w:tcPr>
            <w:tcW w:w="4621" w:type="dxa"/>
          </w:tcPr>
          <w:p w14:paraId="3DB156AB" w14:textId="77777777" w:rsidR="006B4D51" w:rsidRPr="006B4D51" w:rsidRDefault="006B4D51" w:rsidP="00642D88">
            <w:pPr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b/>
                <w:bCs/>
                <w:sz w:val="18"/>
                <w:szCs w:val="18"/>
              </w:rPr>
              <w:t>Entity</w:t>
            </w:r>
          </w:p>
        </w:tc>
        <w:tc>
          <w:tcPr>
            <w:tcW w:w="4621" w:type="dxa"/>
          </w:tcPr>
          <w:p w14:paraId="5756A3CE" w14:textId="77777777" w:rsidR="006B4D51" w:rsidRPr="006B4D51" w:rsidRDefault="006B4D51" w:rsidP="00642D88">
            <w:pPr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b/>
                <w:bCs/>
                <w:sz w:val="18"/>
                <w:szCs w:val="18"/>
              </w:rPr>
              <w:t>Case/context</w:t>
            </w:r>
          </w:p>
        </w:tc>
      </w:tr>
      <w:tr w:rsidR="006B4D51" w:rsidRPr="006B4D51" w14:paraId="24E64E0E" w14:textId="77777777" w:rsidTr="00642D88">
        <w:tc>
          <w:tcPr>
            <w:tcW w:w="4621" w:type="dxa"/>
          </w:tcPr>
          <w:p w14:paraId="1D485670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sz w:val="18"/>
                <w:szCs w:val="18"/>
              </w:rPr>
              <w:t>An Taisce</w:t>
            </w:r>
          </w:p>
        </w:tc>
        <w:tc>
          <w:tcPr>
            <w:tcW w:w="4621" w:type="dxa"/>
          </w:tcPr>
          <w:p w14:paraId="7B28BCDB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>Eco Advocacy CLG v. An Bord Pleanála (No. 2)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 xml:space="preserve"> [2021] IEHC 610 (Unreported, High Court, 4th October 2021) – Art. 267</w:t>
            </w:r>
          </w:p>
          <w:p w14:paraId="64E22A46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14:paraId="537C9E10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>Hellfire Massy Residents Association v. An Bord Pleanála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 xml:space="preserve"> [2021] IEHC 771 (Unreported, High Court, 14th December 2021) – Art. 267</w:t>
            </w:r>
          </w:p>
          <w:p w14:paraId="6EC8B575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B4D51" w:rsidRPr="006B4D51" w14:paraId="74DB6A12" w14:textId="77777777" w:rsidTr="00642D88">
        <w:tc>
          <w:tcPr>
            <w:tcW w:w="4621" w:type="dxa"/>
          </w:tcPr>
          <w:p w14:paraId="324D2F00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sz w:val="18"/>
                <w:szCs w:val="18"/>
              </w:rPr>
              <w:t>Attorney General</w:t>
            </w:r>
          </w:p>
        </w:tc>
        <w:tc>
          <w:tcPr>
            <w:tcW w:w="4621" w:type="dxa"/>
          </w:tcPr>
          <w:p w14:paraId="5610EA84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Hampshire County Council v. C.E. &amp; Ors. 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 xml:space="preserve">[2018] IECA 154 (Unreported, Court of Appeal, Hogan J., 17th May 2018), para. 16 – invited by court to appear as a legitimus contradictor </w:t>
            </w:r>
          </w:p>
          <w:p w14:paraId="6201A9C9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B4D51" w:rsidRPr="006B4D51" w14:paraId="49A52346" w14:textId="77777777" w:rsidTr="00642D88">
        <w:tc>
          <w:tcPr>
            <w:tcW w:w="4621" w:type="dxa"/>
          </w:tcPr>
          <w:p w14:paraId="20811D84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sz w:val="18"/>
                <w:szCs w:val="18"/>
              </w:rPr>
              <w:t>ClientEarth AISBL</w:t>
            </w:r>
          </w:p>
        </w:tc>
        <w:tc>
          <w:tcPr>
            <w:tcW w:w="4621" w:type="dxa"/>
          </w:tcPr>
          <w:p w14:paraId="145616DD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>Eco Advocacy CLG v. An Bord Pleanála (No. 2)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 xml:space="preserve"> [2021] IEHC 610 (Unreported, High Court, 4th October 2021) – Art. 267</w:t>
            </w:r>
          </w:p>
          <w:p w14:paraId="45B7E1D2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14:paraId="3A5EFE58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>Enniskerry Alliance v. An Bord Pleanála and Protect East Meath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v. An Bord Pleanála 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>[2022] IEHC 337 (Unreported, High Court, 10th June 2022) – Art. 267</w:t>
            </w:r>
          </w:p>
          <w:p w14:paraId="695053A0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B4D51" w:rsidRPr="006B4D51" w14:paraId="11632FDF" w14:textId="77777777" w:rsidTr="00642D88">
        <w:tc>
          <w:tcPr>
            <w:tcW w:w="4621" w:type="dxa"/>
          </w:tcPr>
          <w:p w14:paraId="5F4721D3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sz w:val="18"/>
                <w:szCs w:val="18"/>
              </w:rPr>
              <w:t>Fair Trials Europe</w:t>
            </w:r>
          </w:p>
        </w:tc>
        <w:tc>
          <w:tcPr>
            <w:tcW w:w="4621" w:type="dxa"/>
          </w:tcPr>
          <w:p w14:paraId="46E97CFC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>The Minister for Justice and Equality v. Celmer (No.2)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 xml:space="preserve"> [2018] IEHC 154 (Unreported, High Court, Donnelly J., 23rd March 2018), para. 21 – refused where questions already formulated and submissions already made thereon so the </w:t>
            </w: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lastRenderedPageBreak/>
              <w:t>amicus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 xml:space="preserve"> would not in fact be assisting the domestic court</w:t>
            </w:r>
          </w:p>
          <w:p w14:paraId="066CA784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B4D51" w:rsidRPr="006B4D51" w14:paraId="31CCBA01" w14:textId="77777777" w:rsidTr="00642D88">
        <w:tc>
          <w:tcPr>
            <w:tcW w:w="4621" w:type="dxa"/>
          </w:tcPr>
          <w:p w14:paraId="25304B57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sz w:val="18"/>
                <w:szCs w:val="18"/>
              </w:rPr>
              <w:lastRenderedPageBreak/>
              <w:t xml:space="preserve">Irish Human Rights and Equality Commission </w:t>
            </w:r>
          </w:p>
        </w:tc>
        <w:tc>
          <w:tcPr>
            <w:tcW w:w="4621" w:type="dxa"/>
          </w:tcPr>
          <w:p w14:paraId="48C70D77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>DPP v. Smyth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 xml:space="preserve"> [2024] IESC 22 (Unreported, Supreme Court, Collins J., 17th June 2024), para. 133 – cannot expand case</w:t>
            </w:r>
          </w:p>
          <w:p w14:paraId="175C654D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14:paraId="4EA6F0FF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>Celmer v. Minister for Justice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 xml:space="preserve"> [2019] IESC 80, [2020] 1 I.L.R.M. 121 (O’Donnell J.)</w:t>
            </w:r>
          </w:p>
          <w:p w14:paraId="75783F0D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14:paraId="2117BC74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sz w:val="18"/>
                <w:szCs w:val="18"/>
              </w:rPr>
              <w:t xml:space="preserve">Refused in </w:t>
            </w: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>Data Protection Commissioner v. Facebook Ireland Ltd.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 xml:space="preserve"> [2016] IEHC 414 (Unreported, High Court, McGovern J., 19th July 2016) as no added value</w:t>
            </w:r>
          </w:p>
          <w:p w14:paraId="26A562D1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B4D51" w:rsidRPr="006B4D51" w14:paraId="15EF8AC9" w14:textId="77777777" w:rsidTr="00642D88">
        <w:tc>
          <w:tcPr>
            <w:tcW w:w="4621" w:type="dxa"/>
          </w:tcPr>
          <w:p w14:paraId="1608762F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sz w:val="18"/>
                <w:szCs w:val="18"/>
              </w:rPr>
              <w:t>Maximilian Schrems</w:t>
            </w:r>
          </w:p>
        </w:tc>
        <w:tc>
          <w:tcPr>
            <w:tcW w:w="4621" w:type="dxa"/>
          </w:tcPr>
          <w:p w14:paraId="5DAA96EE" w14:textId="77777777" w:rsidR="006B4D51" w:rsidRPr="006B4D51" w:rsidRDefault="006B4D51" w:rsidP="00642D88">
            <w:pPr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>Meta Platforms Ireland v. Data Protection Commission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 xml:space="preserve"> [2024] IEHC 75 (Unreported, High Court, Quinn J., 15th February 2024)  – party applying was affected and so should be notice party rather than </w:t>
            </w: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>amicus</w:t>
            </w:r>
          </w:p>
          <w:p w14:paraId="746D0897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B4D51" w:rsidRPr="006B4D51" w14:paraId="197436D7" w14:textId="77777777" w:rsidTr="00642D88">
        <w:tc>
          <w:tcPr>
            <w:tcW w:w="4621" w:type="dxa"/>
          </w:tcPr>
          <w:p w14:paraId="21ABF34C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sz w:val="18"/>
                <w:szCs w:val="18"/>
              </w:rPr>
              <w:t>Right to Know CLG</w:t>
            </w:r>
          </w:p>
        </w:tc>
        <w:tc>
          <w:tcPr>
            <w:tcW w:w="4621" w:type="dxa"/>
          </w:tcPr>
          <w:p w14:paraId="5CA17FE0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>Coillte Cuideachta Ghníomhaíochta Ainmnithe v. Commissioner for Environmental Information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 xml:space="preserve"> [2024] IEHC 28 (Unreported, High Court, 24th January 2024) – Art. 267 reference </w:t>
            </w:r>
          </w:p>
          <w:p w14:paraId="3AB3A957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B4D51" w:rsidRPr="006B4D51" w14:paraId="13039E0F" w14:textId="77777777" w:rsidTr="00642D88">
        <w:tc>
          <w:tcPr>
            <w:tcW w:w="4621" w:type="dxa"/>
          </w:tcPr>
          <w:p w14:paraId="1A688D7B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sz w:val="18"/>
                <w:szCs w:val="18"/>
              </w:rPr>
              <w:t>Save Our Bride Otters</w:t>
            </w:r>
          </w:p>
        </w:tc>
        <w:tc>
          <w:tcPr>
            <w:tcW w:w="4621" w:type="dxa"/>
          </w:tcPr>
          <w:p w14:paraId="38086414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Hellfire Massy Resident Association v. An Bord Pleanála 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>[2021] IEHC 771 (Unreported, High Court, 14th December 2021) – Art. 267 – criteria to add and role</w:t>
            </w:r>
          </w:p>
          <w:p w14:paraId="34F4162D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B4D51" w:rsidRPr="006B4D51" w14:paraId="2DA791A2" w14:textId="77777777" w:rsidTr="00642D88">
        <w:tc>
          <w:tcPr>
            <w:tcW w:w="4621" w:type="dxa"/>
          </w:tcPr>
          <w:p w14:paraId="0CD35389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sz w:val="18"/>
                <w:szCs w:val="18"/>
              </w:rPr>
              <w:t>UN High Commissioner for Refugees</w:t>
            </w:r>
          </w:p>
        </w:tc>
        <w:tc>
          <w:tcPr>
            <w:tcW w:w="4621" w:type="dxa"/>
          </w:tcPr>
          <w:p w14:paraId="22385715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>B.D. (Bhutan and Nepal) v. The Minister for Justice and Equality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 xml:space="preserve"> [2018] IEHC 461 (Unreported, High Court, 17th July 2018) – added on court’s initiative where Art. 267 was being considered </w:t>
            </w:r>
          </w:p>
          <w:p w14:paraId="66718FD3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B4D51" w:rsidRPr="006B4D51" w14:paraId="6ECEF962" w14:textId="77777777" w:rsidTr="00642D88">
        <w:tc>
          <w:tcPr>
            <w:tcW w:w="4621" w:type="dxa"/>
          </w:tcPr>
          <w:p w14:paraId="108AB09F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sz w:val="18"/>
                <w:szCs w:val="18"/>
              </w:rPr>
              <w:t>USA, EPIC, BSA, Digital Europe</w:t>
            </w:r>
          </w:p>
        </w:tc>
        <w:tc>
          <w:tcPr>
            <w:tcW w:w="4621" w:type="dxa"/>
          </w:tcPr>
          <w:p w14:paraId="33A68327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  <w:r w:rsidRPr="006B4D51">
              <w:rPr>
                <w:rFonts w:ascii="Verdana" w:hAnsi="Verdana" w:cs="Times New Roman"/>
                <w:i/>
                <w:iCs/>
                <w:sz w:val="18"/>
                <w:szCs w:val="18"/>
              </w:rPr>
              <w:t>Data Protection Commissioner v. Facebook Ireland Ltd</w:t>
            </w:r>
            <w:r w:rsidRPr="006B4D51" w:rsidDel="001C3402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 </w:t>
            </w:r>
            <w:r w:rsidRPr="006B4D51">
              <w:rPr>
                <w:rFonts w:ascii="Verdana" w:hAnsi="Verdana" w:cs="Times New Roman"/>
                <w:sz w:val="18"/>
                <w:szCs w:val="18"/>
              </w:rPr>
              <w:t>[2016] IEHC 414 (Unreported, High Court, McGovern J., 19th July 2016)  – allowed due to added value.  EFF, ICCL, ACLU, Mr Cahill, IBEC – refused as inadequate added value.  Art. 267 under consideration at that time.</w:t>
            </w:r>
          </w:p>
          <w:p w14:paraId="16023C46" w14:textId="77777777" w:rsidR="006B4D51" w:rsidRPr="006B4D51" w:rsidRDefault="006B4D51" w:rsidP="00642D8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15420809" w14:textId="77777777" w:rsidR="006B4D51" w:rsidRPr="006B4D51" w:rsidRDefault="006B4D51" w:rsidP="006B4D51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B4D51">
        <w:rPr>
          <w:rFonts w:ascii="Verdana" w:hAnsi="Verdana" w:cs="Times New Roman"/>
          <w:sz w:val="18"/>
          <w:szCs w:val="18"/>
        </w:rPr>
        <w:t xml:space="preserve">  </w:t>
      </w:r>
    </w:p>
    <w:p w14:paraId="17E940A8" w14:textId="77777777" w:rsidR="006B4D51" w:rsidRPr="00603E5B" w:rsidRDefault="006B4D51" w:rsidP="00865680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6B4D51" w:rsidRPr="00603E5B" w:rsidSect="00797815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067FD" w14:textId="77777777" w:rsidR="00C2621C" w:rsidRDefault="00C2621C" w:rsidP="00797815">
      <w:pPr>
        <w:spacing w:after="0" w:line="240" w:lineRule="auto"/>
      </w:pPr>
      <w:r>
        <w:separator/>
      </w:r>
    </w:p>
  </w:endnote>
  <w:endnote w:type="continuationSeparator" w:id="0">
    <w:p w14:paraId="1808D041" w14:textId="77777777" w:rsidR="00C2621C" w:rsidRDefault="00C2621C" w:rsidP="0079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F6BE" w14:textId="77777777" w:rsidR="00C2621C" w:rsidRDefault="00C2621C" w:rsidP="00797815">
      <w:pPr>
        <w:spacing w:after="0" w:line="240" w:lineRule="auto"/>
      </w:pPr>
      <w:r>
        <w:separator/>
      </w:r>
    </w:p>
  </w:footnote>
  <w:footnote w:type="continuationSeparator" w:id="0">
    <w:p w14:paraId="36FC2759" w14:textId="77777777" w:rsidR="00C2621C" w:rsidRDefault="00C2621C" w:rsidP="0079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61246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FB7F81" w14:textId="17A57EFF" w:rsidR="00797815" w:rsidRDefault="0079781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DC443F" w14:textId="77777777" w:rsidR="00797815" w:rsidRDefault="00797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E2A"/>
    <w:multiLevelType w:val="hybridMultilevel"/>
    <w:tmpl w:val="2DCC44BC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0C96"/>
    <w:multiLevelType w:val="hybridMultilevel"/>
    <w:tmpl w:val="241E1D66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A4519"/>
    <w:multiLevelType w:val="hybridMultilevel"/>
    <w:tmpl w:val="16C84406"/>
    <w:lvl w:ilvl="0" w:tplc="262478C6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246A58DC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5330"/>
    <w:multiLevelType w:val="hybridMultilevel"/>
    <w:tmpl w:val="3E548380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82025"/>
    <w:multiLevelType w:val="hybridMultilevel"/>
    <w:tmpl w:val="A420F8F0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93755"/>
    <w:multiLevelType w:val="hybridMultilevel"/>
    <w:tmpl w:val="0C9ADCD2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312A7"/>
    <w:multiLevelType w:val="hybridMultilevel"/>
    <w:tmpl w:val="92542DC0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43DDA"/>
    <w:multiLevelType w:val="hybridMultilevel"/>
    <w:tmpl w:val="15B631A8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D36"/>
    <w:multiLevelType w:val="hybridMultilevel"/>
    <w:tmpl w:val="34560D6C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D38DD"/>
    <w:multiLevelType w:val="hybridMultilevel"/>
    <w:tmpl w:val="54281B98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B4B4B"/>
    <w:multiLevelType w:val="hybridMultilevel"/>
    <w:tmpl w:val="653AC014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A71D1"/>
    <w:multiLevelType w:val="hybridMultilevel"/>
    <w:tmpl w:val="6B5C3556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C15D6"/>
    <w:multiLevelType w:val="hybridMultilevel"/>
    <w:tmpl w:val="C5E42E6C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A1E86"/>
    <w:multiLevelType w:val="hybridMultilevel"/>
    <w:tmpl w:val="48EABA7A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4056A"/>
    <w:multiLevelType w:val="hybridMultilevel"/>
    <w:tmpl w:val="C400DAB4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806DB"/>
    <w:multiLevelType w:val="hybridMultilevel"/>
    <w:tmpl w:val="76F87A78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776D6"/>
    <w:multiLevelType w:val="hybridMultilevel"/>
    <w:tmpl w:val="A4B67D5C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B453C"/>
    <w:multiLevelType w:val="hybridMultilevel"/>
    <w:tmpl w:val="946A2AE6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B021D"/>
    <w:multiLevelType w:val="hybridMultilevel"/>
    <w:tmpl w:val="997A858A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33D3F"/>
    <w:multiLevelType w:val="hybridMultilevel"/>
    <w:tmpl w:val="D038B026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3342C"/>
    <w:multiLevelType w:val="hybridMultilevel"/>
    <w:tmpl w:val="6484AF9E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A2D24"/>
    <w:multiLevelType w:val="hybridMultilevel"/>
    <w:tmpl w:val="CD70D58A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B4CEA"/>
    <w:multiLevelType w:val="hybridMultilevel"/>
    <w:tmpl w:val="BFF47192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44464"/>
    <w:multiLevelType w:val="hybridMultilevel"/>
    <w:tmpl w:val="05005276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C0BC5"/>
    <w:multiLevelType w:val="hybridMultilevel"/>
    <w:tmpl w:val="5E9877C6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E5AAB"/>
    <w:multiLevelType w:val="hybridMultilevel"/>
    <w:tmpl w:val="511AB710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62027"/>
    <w:multiLevelType w:val="hybridMultilevel"/>
    <w:tmpl w:val="73EA61A4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F663C"/>
    <w:multiLevelType w:val="hybridMultilevel"/>
    <w:tmpl w:val="CA36050A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4656D"/>
    <w:multiLevelType w:val="hybridMultilevel"/>
    <w:tmpl w:val="BBC86D24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96A54"/>
    <w:multiLevelType w:val="hybridMultilevel"/>
    <w:tmpl w:val="C602CB0E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C060C"/>
    <w:multiLevelType w:val="hybridMultilevel"/>
    <w:tmpl w:val="5D04C2CC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A2FD0"/>
    <w:multiLevelType w:val="hybridMultilevel"/>
    <w:tmpl w:val="0E5C1F70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72FDE"/>
    <w:multiLevelType w:val="hybridMultilevel"/>
    <w:tmpl w:val="118EF31C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66CAA"/>
    <w:multiLevelType w:val="hybridMultilevel"/>
    <w:tmpl w:val="2A264E14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D141A"/>
    <w:multiLevelType w:val="hybridMultilevel"/>
    <w:tmpl w:val="976A3434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158CD"/>
    <w:multiLevelType w:val="hybridMultilevel"/>
    <w:tmpl w:val="1520E3C2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B0E6F"/>
    <w:multiLevelType w:val="hybridMultilevel"/>
    <w:tmpl w:val="F80A4184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1009B"/>
    <w:multiLevelType w:val="hybridMultilevel"/>
    <w:tmpl w:val="AC8A9772"/>
    <w:lvl w:ilvl="0" w:tplc="246A58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549927">
    <w:abstractNumId w:val="2"/>
  </w:num>
  <w:num w:numId="2" w16cid:durableId="1220358434">
    <w:abstractNumId w:val="3"/>
  </w:num>
  <w:num w:numId="3" w16cid:durableId="1257790698">
    <w:abstractNumId w:val="24"/>
  </w:num>
  <w:num w:numId="4" w16cid:durableId="538250891">
    <w:abstractNumId w:val="4"/>
  </w:num>
  <w:num w:numId="5" w16cid:durableId="42364887">
    <w:abstractNumId w:val="25"/>
  </w:num>
  <w:num w:numId="6" w16cid:durableId="1223637288">
    <w:abstractNumId w:val="33"/>
  </w:num>
  <w:num w:numId="7" w16cid:durableId="214239104">
    <w:abstractNumId w:val="35"/>
  </w:num>
  <w:num w:numId="8" w16cid:durableId="226918224">
    <w:abstractNumId w:val="32"/>
  </w:num>
  <w:num w:numId="9" w16cid:durableId="171333958">
    <w:abstractNumId w:val="15"/>
  </w:num>
  <w:num w:numId="10" w16cid:durableId="535309529">
    <w:abstractNumId w:val="17"/>
  </w:num>
  <w:num w:numId="11" w16cid:durableId="56631728">
    <w:abstractNumId w:val="1"/>
  </w:num>
  <w:num w:numId="12" w16cid:durableId="381906714">
    <w:abstractNumId w:val="6"/>
  </w:num>
  <w:num w:numId="13" w16cid:durableId="1179589280">
    <w:abstractNumId w:val="16"/>
  </w:num>
  <w:num w:numId="14" w16cid:durableId="801577901">
    <w:abstractNumId w:val="29"/>
  </w:num>
  <w:num w:numId="15" w16cid:durableId="708342200">
    <w:abstractNumId w:val="27"/>
  </w:num>
  <w:num w:numId="16" w16cid:durableId="104160418">
    <w:abstractNumId w:val="36"/>
  </w:num>
  <w:num w:numId="17" w16cid:durableId="948395354">
    <w:abstractNumId w:val="10"/>
  </w:num>
  <w:num w:numId="18" w16cid:durableId="90468413">
    <w:abstractNumId w:val="11"/>
  </w:num>
  <w:num w:numId="19" w16cid:durableId="277419131">
    <w:abstractNumId w:val="30"/>
  </w:num>
  <w:num w:numId="20" w16cid:durableId="825630450">
    <w:abstractNumId w:val="28"/>
  </w:num>
  <w:num w:numId="21" w16cid:durableId="924650324">
    <w:abstractNumId w:val="23"/>
  </w:num>
  <w:num w:numId="22" w16cid:durableId="2104304148">
    <w:abstractNumId w:val="0"/>
  </w:num>
  <w:num w:numId="23" w16cid:durableId="1830054452">
    <w:abstractNumId w:val="12"/>
  </w:num>
  <w:num w:numId="24" w16cid:durableId="785853033">
    <w:abstractNumId w:val="21"/>
  </w:num>
  <w:num w:numId="25" w16cid:durableId="514156174">
    <w:abstractNumId w:val="8"/>
  </w:num>
  <w:num w:numId="26" w16cid:durableId="1931499049">
    <w:abstractNumId w:val="14"/>
  </w:num>
  <w:num w:numId="27" w16cid:durableId="99616365">
    <w:abstractNumId w:val="18"/>
  </w:num>
  <w:num w:numId="28" w16cid:durableId="2098861458">
    <w:abstractNumId w:val="20"/>
  </w:num>
  <w:num w:numId="29" w16cid:durableId="517163526">
    <w:abstractNumId w:val="5"/>
  </w:num>
  <w:num w:numId="30" w16cid:durableId="327288088">
    <w:abstractNumId w:val="13"/>
  </w:num>
  <w:num w:numId="31" w16cid:durableId="145439326">
    <w:abstractNumId w:val="31"/>
  </w:num>
  <w:num w:numId="32" w16cid:durableId="544946520">
    <w:abstractNumId w:val="9"/>
  </w:num>
  <w:num w:numId="33" w16cid:durableId="1780569044">
    <w:abstractNumId w:val="19"/>
  </w:num>
  <w:num w:numId="34" w16cid:durableId="736441760">
    <w:abstractNumId w:val="37"/>
  </w:num>
  <w:num w:numId="35" w16cid:durableId="641234707">
    <w:abstractNumId w:val="26"/>
  </w:num>
  <w:num w:numId="36" w16cid:durableId="686519717">
    <w:abstractNumId w:val="7"/>
  </w:num>
  <w:num w:numId="37" w16cid:durableId="1277059324">
    <w:abstractNumId w:val="34"/>
  </w:num>
  <w:num w:numId="38" w16cid:durableId="2010221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BA"/>
    <w:rsid w:val="0000340E"/>
    <w:rsid w:val="00003D64"/>
    <w:rsid w:val="00010922"/>
    <w:rsid w:val="000547C8"/>
    <w:rsid w:val="00084E9D"/>
    <w:rsid w:val="00085FE6"/>
    <w:rsid w:val="000872D1"/>
    <w:rsid w:val="00093680"/>
    <w:rsid w:val="000D0970"/>
    <w:rsid w:val="000D2EDA"/>
    <w:rsid w:val="000D6021"/>
    <w:rsid w:val="000E1F90"/>
    <w:rsid w:val="000E4CE7"/>
    <w:rsid w:val="000F1852"/>
    <w:rsid w:val="000F668B"/>
    <w:rsid w:val="00101F69"/>
    <w:rsid w:val="00106806"/>
    <w:rsid w:val="0012562F"/>
    <w:rsid w:val="00125A82"/>
    <w:rsid w:val="001316C7"/>
    <w:rsid w:val="001360D1"/>
    <w:rsid w:val="00153302"/>
    <w:rsid w:val="00166208"/>
    <w:rsid w:val="0017265C"/>
    <w:rsid w:val="001A24B9"/>
    <w:rsid w:val="001A4CA5"/>
    <w:rsid w:val="001A6191"/>
    <w:rsid w:val="001B4B80"/>
    <w:rsid w:val="001C1416"/>
    <w:rsid w:val="001C2231"/>
    <w:rsid w:val="001D74F2"/>
    <w:rsid w:val="00232AD9"/>
    <w:rsid w:val="002347AE"/>
    <w:rsid w:val="0024753F"/>
    <w:rsid w:val="00254A92"/>
    <w:rsid w:val="00265C15"/>
    <w:rsid w:val="0028708C"/>
    <w:rsid w:val="002A60C0"/>
    <w:rsid w:val="002E4F8A"/>
    <w:rsid w:val="002E5F9F"/>
    <w:rsid w:val="00322946"/>
    <w:rsid w:val="00332165"/>
    <w:rsid w:val="00353630"/>
    <w:rsid w:val="003C3262"/>
    <w:rsid w:val="003E0DC2"/>
    <w:rsid w:val="003F21B4"/>
    <w:rsid w:val="0042375E"/>
    <w:rsid w:val="00441B38"/>
    <w:rsid w:val="0044224F"/>
    <w:rsid w:val="00444D04"/>
    <w:rsid w:val="00452520"/>
    <w:rsid w:val="00457A89"/>
    <w:rsid w:val="00461BFC"/>
    <w:rsid w:val="004630E8"/>
    <w:rsid w:val="00463B92"/>
    <w:rsid w:val="00473C21"/>
    <w:rsid w:val="00492DF5"/>
    <w:rsid w:val="004A2681"/>
    <w:rsid w:val="004A288B"/>
    <w:rsid w:val="004C4A21"/>
    <w:rsid w:val="004C5E27"/>
    <w:rsid w:val="004D68E4"/>
    <w:rsid w:val="004E621B"/>
    <w:rsid w:val="004F5F67"/>
    <w:rsid w:val="00506A4C"/>
    <w:rsid w:val="005336F2"/>
    <w:rsid w:val="00541004"/>
    <w:rsid w:val="005428B9"/>
    <w:rsid w:val="00543E14"/>
    <w:rsid w:val="00566345"/>
    <w:rsid w:val="00580D44"/>
    <w:rsid w:val="00583AEC"/>
    <w:rsid w:val="005B31E9"/>
    <w:rsid w:val="005B3A67"/>
    <w:rsid w:val="005B77F1"/>
    <w:rsid w:val="005D2CD9"/>
    <w:rsid w:val="005D4A0A"/>
    <w:rsid w:val="00603E5B"/>
    <w:rsid w:val="006301C5"/>
    <w:rsid w:val="00634185"/>
    <w:rsid w:val="00640937"/>
    <w:rsid w:val="0064112E"/>
    <w:rsid w:val="00645072"/>
    <w:rsid w:val="00652ADE"/>
    <w:rsid w:val="006556B3"/>
    <w:rsid w:val="0066686F"/>
    <w:rsid w:val="006860F3"/>
    <w:rsid w:val="006A089C"/>
    <w:rsid w:val="006B3B4B"/>
    <w:rsid w:val="006B4D51"/>
    <w:rsid w:val="006B6D3E"/>
    <w:rsid w:val="006C1027"/>
    <w:rsid w:val="007841D2"/>
    <w:rsid w:val="00797815"/>
    <w:rsid w:val="007D4713"/>
    <w:rsid w:val="007D4CC8"/>
    <w:rsid w:val="008123B7"/>
    <w:rsid w:val="00823624"/>
    <w:rsid w:val="00827FDF"/>
    <w:rsid w:val="00865680"/>
    <w:rsid w:val="00865F6B"/>
    <w:rsid w:val="008931CD"/>
    <w:rsid w:val="008B2293"/>
    <w:rsid w:val="008B75CD"/>
    <w:rsid w:val="008D24E6"/>
    <w:rsid w:val="008E05ED"/>
    <w:rsid w:val="008E2B7A"/>
    <w:rsid w:val="008E43C8"/>
    <w:rsid w:val="008E5681"/>
    <w:rsid w:val="008F6D92"/>
    <w:rsid w:val="00901041"/>
    <w:rsid w:val="0090114A"/>
    <w:rsid w:val="00914DED"/>
    <w:rsid w:val="009248D7"/>
    <w:rsid w:val="00945FBB"/>
    <w:rsid w:val="009674BE"/>
    <w:rsid w:val="009B0CEF"/>
    <w:rsid w:val="009C2C3F"/>
    <w:rsid w:val="009C6A11"/>
    <w:rsid w:val="009C75CC"/>
    <w:rsid w:val="009D016F"/>
    <w:rsid w:val="009D0E79"/>
    <w:rsid w:val="00A06AC0"/>
    <w:rsid w:val="00A1440C"/>
    <w:rsid w:val="00A33D39"/>
    <w:rsid w:val="00A36CF3"/>
    <w:rsid w:val="00A4177D"/>
    <w:rsid w:val="00A42532"/>
    <w:rsid w:val="00A61783"/>
    <w:rsid w:val="00A617D4"/>
    <w:rsid w:val="00A73FBA"/>
    <w:rsid w:val="00A86046"/>
    <w:rsid w:val="00AD089C"/>
    <w:rsid w:val="00AD4472"/>
    <w:rsid w:val="00AE620D"/>
    <w:rsid w:val="00B030B7"/>
    <w:rsid w:val="00B1043F"/>
    <w:rsid w:val="00B13A8E"/>
    <w:rsid w:val="00B72274"/>
    <w:rsid w:val="00B83A4B"/>
    <w:rsid w:val="00BA0DEB"/>
    <w:rsid w:val="00BA5867"/>
    <w:rsid w:val="00BD2491"/>
    <w:rsid w:val="00BD5884"/>
    <w:rsid w:val="00BE69C6"/>
    <w:rsid w:val="00BF3389"/>
    <w:rsid w:val="00BF61F4"/>
    <w:rsid w:val="00BF73F6"/>
    <w:rsid w:val="00C12787"/>
    <w:rsid w:val="00C2621C"/>
    <w:rsid w:val="00C3354D"/>
    <w:rsid w:val="00C3605A"/>
    <w:rsid w:val="00C4509F"/>
    <w:rsid w:val="00C55387"/>
    <w:rsid w:val="00C57854"/>
    <w:rsid w:val="00C61075"/>
    <w:rsid w:val="00CB087A"/>
    <w:rsid w:val="00CB3AAD"/>
    <w:rsid w:val="00CC74ED"/>
    <w:rsid w:val="00CE4E4B"/>
    <w:rsid w:val="00CE5D87"/>
    <w:rsid w:val="00CF2249"/>
    <w:rsid w:val="00D2253C"/>
    <w:rsid w:val="00D32975"/>
    <w:rsid w:val="00D418DC"/>
    <w:rsid w:val="00D57DFE"/>
    <w:rsid w:val="00D7779B"/>
    <w:rsid w:val="00D812A4"/>
    <w:rsid w:val="00D84110"/>
    <w:rsid w:val="00D84FDD"/>
    <w:rsid w:val="00DB1EA6"/>
    <w:rsid w:val="00DB323F"/>
    <w:rsid w:val="00DB554D"/>
    <w:rsid w:val="00DD6B48"/>
    <w:rsid w:val="00DE06CE"/>
    <w:rsid w:val="00DF6D01"/>
    <w:rsid w:val="00E072BF"/>
    <w:rsid w:val="00E212CF"/>
    <w:rsid w:val="00E60CA2"/>
    <w:rsid w:val="00E76BB7"/>
    <w:rsid w:val="00E83239"/>
    <w:rsid w:val="00E912F3"/>
    <w:rsid w:val="00EB3CBB"/>
    <w:rsid w:val="00ED184E"/>
    <w:rsid w:val="00EE5883"/>
    <w:rsid w:val="00F51875"/>
    <w:rsid w:val="00F57F44"/>
    <w:rsid w:val="00F601BD"/>
    <w:rsid w:val="00F931B5"/>
    <w:rsid w:val="00FA3AAF"/>
    <w:rsid w:val="00FA4160"/>
    <w:rsid w:val="00FB41CD"/>
    <w:rsid w:val="00FC29B2"/>
    <w:rsid w:val="00FC6A01"/>
    <w:rsid w:val="00FD2BA9"/>
    <w:rsid w:val="00FD3C5B"/>
    <w:rsid w:val="00FD6194"/>
    <w:rsid w:val="00FF37EE"/>
    <w:rsid w:val="00FF57CB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E4BE"/>
  <w15:chartTrackingRefBased/>
  <w15:docId w15:val="{EC6E4979-E0D7-4762-9BD9-4ECCFFF6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D2BA9"/>
    <w:pPr>
      <w:spacing w:after="0" w:line="240" w:lineRule="auto"/>
      <w:outlineLvl w:val="0"/>
    </w:pPr>
    <w:rPr>
      <w:rFonts w:ascii="Verdana" w:hAnsi="Verdana"/>
      <w:b/>
      <w:bCs/>
      <w:color w:val="44546A" w:themeColor="text2"/>
      <w:kern w:val="0"/>
      <w:sz w:val="18"/>
      <w:szCs w:val="18"/>
      <w:lang w:eastAsia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383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Normal numbered,Bullet Style,Figure 1,L,列出"/>
    <w:basedOn w:val="Normal"/>
    <w:link w:val="ListParagraphChar"/>
    <w:uiPriority w:val="34"/>
    <w:qFormat/>
    <w:rsid w:val="00FD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,Bullet Style Char"/>
    <w:link w:val="ListParagraph"/>
    <w:uiPriority w:val="34"/>
    <w:rsid w:val="00FD2BA9"/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D2BA9"/>
    <w:rPr>
      <w:rFonts w:ascii="Verdana" w:hAnsi="Verdana"/>
      <w:b/>
      <w:bCs/>
      <w:color w:val="44546A" w:themeColor="text2"/>
      <w:kern w:val="0"/>
      <w:sz w:val="18"/>
      <w:szCs w:val="18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C4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A21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97815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5383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9781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97815"/>
    <w:rPr>
      <w:color w:val="003657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7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815"/>
  </w:style>
  <w:style w:type="paragraph" w:styleId="Footer">
    <w:name w:val="footer"/>
    <w:basedOn w:val="Normal"/>
    <w:link w:val="FooterChar"/>
    <w:uiPriority w:val="99"/>
    <w:unhideWhenUsed/>
    <w:rsid w:val="00797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15"/>
  </w:style>
  <w:style w:type="character" w:customStyle="1" w:styleId="Heading2Char">
    <w:name w:val="Heading 2 Char"/>
    <w:basedOn w:val="DefaultParagraphFont"/>
    <w:link w:val="Heading2"/>
    <w:uiPriority w:val="9"/>
    <w:rsid w:val="00E912F3"/>
    <w:rPr>
      <w:rFonts w:asciiTheme="majorHAnsi" w:eastAsiaTheme="majorEastAsia" w:hAnsiTheme="majorHAnsi" w:cstheme="majorBidi"/>
      <w:color w:val="005383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6C102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C1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ie/content/written-submissions-and-issue-pap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urts.ie/acc/alfresco/e384051f-f1aa-4aa5-aa49-b5f21c1149ed/HC97%20-%20Book%20of%20Authorities-updated%20December%202022.pdf/pdf/1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792A-94A7-40E9-8C39-8F00CFB9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3942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Humphreys</dc:creator>
  <cp:keywords/>
  <dc:description/>
  <cp:lastModifiedBy>Brendan Houlihan</cp:lastModifiedBy>
  <cp:revision>3</cp:revision>
  <dcterms:created xsi:type="dcterms:W3CDTF">2024-12-01T10:41:00Z</dcterms:created>
  <dcterms:modified xsi:type="dcterms:W3CDTF">2024-12-02T11:13:00Z</dcterms:modified>
</cp:coreProperties>
</file>